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F60BA" w14:textId="6D363BD7" w:rsidR="007670BE" w:rsidRPr="007670BE" w:rsidRDefault="007670BE" w:rsidP="007670BE">
      <w:pPr>
        <w:tabs>
          <w:tab w:val="left" w:pos="1701"/>
          <w:tab w:val="left" w:pos="7938"/>
        </w:tabs>
        <w:spacing w:before="100" w:beforeAutospacing="1" w:after="100" w:afterAutospacing="1"/>
        <w:ind w:right="4"/>
        <w:jc w:val="center"/>
        <w:outlineLvl w:val="1"/>
        <w:rPr>
          <w:rFonts w:ascii="Times New Roman" w:eastAsia="Times New Roman" w:hAnsi="Times New Roman" w:cs="Times New Roman"/>
          <w:b/>
          <w:bCs/>
          <w:color w:val="000000"/>
          <w:kern w:val="0"/>
          <w:sz w:val="36"/>
          <w:szCs w:val="36"/>
          <w14:ligatures w14:val="none"/>
        </w:rPr>
      </w:pPr>
      <w:r>
        <w:rPr>
          <w:rFonts w:ascii="Times New Roman" w:eastAsia="Times New Roman" w:hAnsi="Times New Roman" w:cs="Times New Roman"/>
          <w:b/>
          <w:bCs/>
          <w:noProof/>
          <w:color w:val="000000"/>
          <w:kern w:val="0"/>
          <w:sz w:val="36"/>
          <w:szCs w:val="36"/>
        </w:rPr>
        <w:drawing>
          <wp:inline distT="0" distB="0" distL="0" distR="0" wp14:anchorId="1E736D08" wp14:editId="102A9D6E">
            <wp:extent cx="4160485" cy="5568696"/>
            <wp:effectExtent l="0" t="0" r="5715" b="0"/>
            <wp:docPr id="1092080111" name="Picture 1" descr="A red sign with a double headed ea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80111" name="Picture 1" descr="A red sign with a double headed eagle&#10;&#10;AI-generated content may be incorrect."/>
                    <pic:cNvPicPr/>
                  </pic:nvPicPr>
                  <pic:blipFill>
                    <a:blip r:embed="rId5"/>
                    <a:stretch>
                      <a:fillRect/>
                    </a:stretch>
                  </pic:blipFill>
                  <pic:spPr>
                    <a:xfrm>
                      <a:off x="0" y="0"/>
                      <a:ext cx="4270804" cy="5716355"/>
                    </a:xfrm>
                    <a:prstGeom prst="rect">
                      <a:avLst/>
                    </a:prstGeom>
                  </pic:spPr>
                </pic:pic>
              </a:graphicData>
            </a:graphic>
          </wp:inline>
        </w:drawing>
      </w:r>
    </w:p>
    <w:p w14:paraId="3C6F41E2" w14:textId="77777777" w:rsidR="001F34FA" w:rsidRDefault="001F34FA" w:rsidP="007670BE">
      <w:pPr>
        <w:spacing w:before="100" w:beforeAutospacing="1" w:after="100" w:afterAutospacing="1"/>
        <w:outlineLvl w:val="2"/>
        <w:rPr>
          <w:rFonts w:ascii="Times New Roman" w:eastAsia="Times New Roman" w:hAnsi="Times New Roman" w:cs="Times New Roman"/>
          <w:b/>
          <w:bCs/>
          <w:color w:val="000000"/>
          <w:kern w:val="0"/>
          <w:sz w:val="32"/>
          <w:szCs w:val="32"/>
          <w14:ligatures w14:val="none"/>
        </w:rPr>
      </w:pPr>
    </w:p>
    <w:p w14:paraId="344356EB" w14:textId="77777777" w:rsidR="001F34FA" w:rsidRPr="0061118C" w:rsidRDefault="001F34FA" w:rsidP="001F34FA">
      <w:pPr>
        <w:shd w:val="clear" w:color="auto" w:fill="E8E8E8" w:themeFill="background2"/>
        <w:spacing w:line="276" w:lineRule="auto"/>
        <w:jc w:val="center"/>
        <w:rPr>
          <w:b/>
          <w:bCs/>
        </w:rPr>
      </w:pPr>
      <w:r w:rsidRPr="0061118C">
        <w:rPr>
          <w:b/>
          <w:bCs/>
        </w:rPr>
        <w:t>COURSE DESCRIPTION</w:t>
      </w:r>
    </w:p>
    <w:p w14:paraId="166A33B7" w14:textId="77777777" w:rsidR="001F34FA" w:rsidRPr="0061118C" w:rsidRDefault="001F34FA" w:rsidP="001F34FA">
      <w:pPr>
        <w:spacing w:line="276" w:lineRule="auto"/>
        <w:jc w:val="both"/>
      </w:pPr>
    </w:p>
    <w:p w14:paraId="034EABC1" w14:textId="3FD7E496" w:rsidR="001F34FA" w:rsidRPr="0061118C" w:rsidRDefault="001F34FA" w:rsidP="001F34FA">
      <w:pPr>
        <w:spacing w:line="276" w:lineRule="auto"/>
        <w:jc w:val="both"/>
      </w:pPr>
      <w:r w:rsidRPr="0061118C">
        <w:t>This course is designed for graduate students as a comprehensive survey of imperial Russian history. It traces the evolution of Russian institutions and political order from Petrine reforms (early 18</w:t>
      </w:r>
      <w:r w:rsidRPr="0061118C">
        <w:rPr>
          <w:vertAlign w:val="superscript"/>
        </w:rPr>
        <w:t>th</w:t>
      </w:r>
      <w:r w:rsidRPr="0061118C">
        <w:t xml:space="preserve"> century) </w:t>
      </w:r>
      <w:r>
        <w:t xml:space="preserve">all the way through </w:t>
      </w:r>
      <w:r>
        <w:t>revolutionary</w:t>
      </w:r>
      <w:r>
        <w:t xml:space="preserve"> Russian politics under </w:t>
      </w:r>
      <w:r>
        <w:t>Lenin</w:t>
      </w:r>
      <w:r w:rsidRPr="0061118C">
        <w:t xml:space="preserve">. The main purpose of my lectures will be to go beyond existing binarisms in historical scholarship (such as good and evil), and help students place Russia in a transnational context. We will examine Russia through many lenses – diplomatic, political, economic and cultural – but our main attention will be on (1) reasons behind and impact of revolutions; (2) the state and the </w:t>
      </w:r>
      <w:r w:rsidRPr="0061118C">
        <w:lastRenderedPageBreak/>
        <w:t xml:space="preserve">people; (3) industrialization and the drive for development; (4) imperial and Soviet nationality policy; (5) great power politics and the emergence of regional conflicts. </w:t>
      </w:r>
    </w:p>
    <w:p w14:paraId="7C1FCE65" w14:textId="77777777" w:rsidR="001F34FA" w:rsidRPr="0061118C" w:rsidRDefault="001F34FA" w:rsidP="001F34FA">
      <w:pPr>
        <w:spacing w:line="276" w:lineRule="auto"/>
        <w:jc w:val="both"/>
        <w:rPr>
          <w:b/>
          <w:bCs/>
        </w:rPr>
      </w:pPr>
    </w:p>
    <w:p w14:paraId="6B3DFD3D" w14:textId="77777777" w:rsidR="001F34FA" w:rsidRPr="0061118C" w:rsidRDefault="001F34FA" w:rsidP="001F34FA">
      <w:pPr>
        <w:shd w:val="clear" w:color="auto" w:fill="E8E8E8" w:themeFill="background2"/>
        <w:spacing w:line="276" w:lineRule="auto"/>
        <w:jc w:val="center"/>
        <w:rPr>
          <w:b/>
          <w:bCs/>
        </w:rPr>
      </w:pPr>
      <w:r w:rsidRPr="0061118C">
        <w:rPr>
          <w:b/>
          <w:bCs/>
        </w:rPr>
        <w:t>OBJECTIVES &amp; FORMAT</w:t>
      </w:r>
    </w:p>
    <w:p w14:paraId="44290A5E" w14:textId="77777777" w:rsidR="001F34FA" w:rsidRPr="0061118C" w:rsidRDefault="001F34FA" w:rsidP="001F34FA">
      <w:pPr>
        <w:spacing w:line="276" w:lineRule="auto"/>
        <w:jc w:val="both"/>
      </w:pPr>
    </w:p>
    <w:p w14:paraId="757F7FB4" w14:textId="77777777" w:rsidR="001F34FA" w:rsidRPr="0061118C" w:rsidRDefault="001F34FA" w:rsidP="001F34FA">
      <w:pPr>
        <w:spacing w:line="276" w:lineRule="auto"/>
        <w:jc w:val="both"/>
      </w:pPr>
      <w:r w:rsidRPr="0061118C">
        <w:t xml:space="preserve">To the uninformed audience, Russia is often considered enigmatic. If you complete the reading assignments on time and engage in active discussion with your peers, you will have a better understanding of Russia’s past, which – you will realize – is not really that mysterious. By the end of the semester, students who attend classes regularly will demonstrate a working knowledge of the historical processess through which contemporary Russia came into being. </w:t>
      </w:r>
    </w:p>
    <w:p w14:paraId="37530823" w14:textId="77777777" w:rsidR="001F34FA" w:rsidRPr="0061118C" w:rsidRDefault="001F34FA" w:rsidP="001F34FA">
      <w:pPr>
        <w:spacing w:line="276" w:lineRule="auto"/>
        <w:jc w:val="both"/>
        <w:rPr>
          <w:b/>
          <w:bCs/>
        </w:rPr>
      </w:pPr>
    </w:p>
    <w:p w14:paraId="076C0833" w14:textId="546B3FFE" w:rsidR="001F34FA" w:rsidRPr="0061118C" w:rsidRDefault="001F34FA" w:rsidP="001F34FA">
      <w:pPr>
        <w:spacing w:line="276" w:lineRule="auto"/>
        <w:jc w:val="both"/>
      </w:pPr>
      <w:r w:rsidRPr="0061118C">
        <w:t>I have organized this class around around a series of lectures and discussions, which will introduce students to the peoples, places, events and issues that we will focus on in our readings. Russia’s relations with the West and its drive for modernization will occupy a large portion of our meetings and we will drive home this main theme through a straightforward chronology, which I tried to briefly summarize in the next section. The overall success of the class will depend to a significant degree on students’ willingness to engage in discussion; a full %</w:t>
      </w:r>
      <w:r>
        <w:t>3</w:t>
      </w:r>
      <w:r w:rsidRPr="0061118C">
        <w:t>0 of your grade is derived from your participation in discussion sessions.</w:t>
      </w:r>
    </w:p>
    <w:p w14:paraId="56834C11" w14:textId="77777777" w:rsidR="001F34FA" w:rsidRPr="0061118C" w:rsidRDefault="001F34FA" w:rsidP="001F34FA">
      <w:pPr>
        <w:spacing w:line="276" w:lineRule="auto"/>
        <w:jc w:val="both"/>
      </w:pPr>
    </w:p>
    <w:p w14:paraId="492A230E" w14:textId="77777777" w:rsidR="001F34FA" w:rsidRPr="0061118C" w:rsidRDefault="001F34FA" w:rsidP="001F34FA">
      <w:pPr>
        <w:shd w:val="clear" w:color="auto" w:fill="E8E8E8" w:themeFill="background2"/>
        <w:spacing w:line="276" w:lineRule="auto"/>
        <w:jc w:val="center"/>
        <w:rPr>
          <w:b/>
          <w:bCs/>
        </w:rPr>
      </w:pPr>
      <w:r w:rsidRPr="0061118C">
        <w:rPr>
          <w:b/>
          <w:bCs/>
        </w:rPr>
        <w:t>SCOPE &amp; READINGS</w:t>
      </w:r>
    </w:p>
    <w:p w14:paraId="708FB443" w14:textId="77777777" w:rsidR="001F34FA" w:rsidRPr="0061118C" w:rsidRDefault="001F34FA" w:rsidP="001F34FA">
      <w:pPr>
        <w:spacing w:line="276" w:lineRule="auto"/>
        <w:jc w:val="both"/>
      </w:pPr>
    </w:p>
    <w:p w14:paraId="540368EC" w14:textId="77777777" w:rsidR="001F34FA" w:rsidRPr="0061118C" w:rsidRDefault="001F34FA" w:rsidP="001F34FA">
      <w:pPr>
        <w:spacing w:line="276" w:lineRule="auto"/>
        <w:jc w:val="both"/>
      </w:pPr>
      <w:r w:rsidRPr="0061118C">
        <w:t>From a small principality in Moscow, the Tsardom of Russia grew 35,000 km</w:t>
      </w:r>
      <w:r w:rsidRPr="0061118C">
        <w:rPr>
          <w:vertAlign w:val="superscript"/>
        </w:rPr>
        <w:t>2</w:t>
      </w:r>
      <w:r w:rsidRPr="0061118C">
        <w:t xml:space="preserve"> each year between Ivan the Terrible’s conquest of Kazan in 1552 and Peter the Great’s signing of the Treaty of Nystad in 1721. Throughout the tumultous 18</w:t>
      </w:r>
      <w:r w:rsidRPr="0061118C">
        <w:rPr>
          <w:vertAlign w:val="superscript"/>
        </w:rPr>
        <w:t>th</w:t>
      </w:r>
      <w:r w:rsidRPr="0061118C">
        <w:t xml:space="preserve"> Century, the Romanov Empire continued to expand, and by the the time of the Spring of Nations in 1848, Russia was considered the strongest country in Europe. The Romanovs seemed impelled to expand by a rhythm all its own, containable only by the deployment of superior force, and usually by war. European powers have always found something decidedly eerie about the vastness and persistence of this country. Thwarted, Russia nursed its grievances and bided its time for revenge – against Great Britain throughout much of the 19th century, against Austria after the Crimean War, against Germany for the Congress of Berlin. The irony was that, after a certain point, expansionism no longer enhanced Russia’s power but brought about its decline. </w:t>
      </w:r>
    </w:p>
    <w:p w14:paraId="21DD05DF" w14:textId="77777777" w:rsidR="001F34FA" w:rsidRPr="0061118C" w:rsidRDefault="001F34FA" w:rsidP="001F34FA">
      <w:pPr>
        <w:spacing w:line="276" w:lineRule="auto"/>
        <w:jc w:val="both"/>
      </w:pPr>
    </w:p>
    <w:p w14:paraId="3736F136" w14:textId="77777777" w:rsidR="001F34FA" w:rsidRPr="0061118C" w:rsidRDefault="001F34FA" w:rsidP="001F34FA">
      <w:pPr>
        <w:spacing w:line="276" w:lineRule="auto"/>
        <w:jc w:val="both"/>
      </w:pPr>
      <w:r w:rsidRPr="0061118C">
        <w:t xml:space="preserve">Between 1848-1914, Russia was involved in over half a dozen wars (other than colonial wars) far more than any other major power. In each of these conflicts the financial and political costs to Russia far exceeded the possible gains. When the 304-year-old Romanov dynasty </w:t>
      </w:r>
      <w:r w:rsidRPr="0061118C">
        <w:lastRenderedPageBreak/>
        <w:t>collapsed after two revolutions in 1917, it bequeathed the world’s largest multi-ethnic, multi-confessional society to their successors – the Bolsheviks. United in shared bitterness against the Soviet Union’s isolation from the new international order that emerged in Versailles in 1919, Lenin and his comrades were driven by a restless desire for development and to match Western power. This motive persisted through much of Soviet history. The Kremlin was equally determined to improve the human condition through communism, and reached out to the Third World in a global competition with the United States. But when the Soviet Union collapsed in 1991, it was an underdeveloped superpower and the suddenness of its fall came as a shock not only to the rest of the world but to its own citizens. In Alexei Yurchak’s words, it was as if “everything was forever until it was no more.”</w:t>
      </w:r>
    </w:p>
    <w:p w14:paraId="51D07D1B" w14:textId="77777777" w:rsidR="001F34FA" w:rsidRPr="0061118C" w:rsidRDefault="001F34FA" w:rsidP="001F34FA">
      <w:pPr>
        <w:spacing w:line="276" w:lineRule="auto"/>
        <w:jc w:val="both"/>
      </w:pPr>
    </w:p>
    <w:p w14:paraId="6A30F5E7" w14:textId="77777777" w:rsidR="001F34FA" w:rsidRDefault="001F34FA" w:rsidP="001F34FA">
      <w:pPr>
        <w:spacing w:line="276" w:lineRule="auto"/>
        <w:jc w:val="both"/>
      </w:pPr>
      <w:r w:rsidRPr="0061118C">
        <w:t xml:space="preserve">To fully understand the twists and turns in the picture described above, we will read </w:t>
      </w:r>
      <w:r>
        <w:t xml:space="preserve">two main textbooks: </w:t>
      </w:r>
    </w:p>
    <w:p w14:paraId="0B5B135C" w14:textId="2F86856C" w:rsidR="001F34FA" w:rsidRPr="001F34FA" w:rsidRDefault="001F34FA" w:rsidP="001F34FA">
      <w:pPr>
        <w:pStyle w:val="ListParagraph"/>
        <w:numPr>
          <w:ilvl w:val="0"/>
          <w:numId w:val="18"/>
        </w:numPr>
        <w:spacing w:line="276" w:lineRule="auto"/>
        <w:jc w:val="both"/>
      </w:pPr>
      <w:r w:rsidRPr="001F34FA">
        <w:rPr>
          <w:i/>
          <w:iCs/>
        </w:rPr>
        <w:t xml:space="preserve">Geoffrey Hosking’s Russia and the Russians: A History </w:t>
      </w:r>
      <w:r w:rsidRPr="001F34FA">
        <w:t>(Cambridge, MA: Belknap, 2011)</w:t>
      </w:r>
      <w:r>
        <w:t xml:space="preserve">. This is a widely read popular source on Russian history and we will be using it for the period between 1725 through 1881. </w:t>
      </w:r>
    </w:p>
    <w:p w14:paraId="465C6281" w14:textId="56FFA93E" w:rsidR="001F34FA" w:rsidRPr="0061118C" w:rsidRDefault="001F34FA" w:rsidP="001F34FA">
      <w:pPr>
        <w:pStyle w:val="ListParagraph"/>
        <w:numPr>
          <w:ilvl w:val="0"/>
          <w:numId w:val="18"/>
        </w:numPr>
        <w:spacing w:line="276" w:lineRule="auto"/>
        <w:jc w:val="both"/>
      </w:pPr>
      <w:r>
        <w:t xml:space="preserve">Onur İşçi &amp; Onur Önol, </w:t>
      </w:r>
      <w:r>
        <w:rPr>
          <w:i/>
          <w:iCs/>
        </w:rPr>
        <w:t xml:space="preserve">Harp Yahut İhtilal: Rusya İmparatorluğu’nun Çöküşü, 1881-1917 </w:t>
      </w:r>
      <w:r>
        <w:t xml:space="preserve">(İstanbul: Kronik, 2019). This is </w:t>
      </w:r>
      <w:r>
        <w:t xml:space="preserve">a popular survey history of Russia all the way from </w:t>
      </w:r>
      <w:r>
        <w:t>the assasination of Alexander II in 1881 through the revolutionary turmoil in Russia in 1917.</w:t>
      </w:r>
      <w:r>
        <w:t xml:space="preserve"> </w:t>
      </w:r>
      <w:r w:rsidRPr="0061118C">
        <w:t xml:space="preserve">    </w:t>
      </w:r>
    </w:p>
    <w:p w14:paraId="3EC0651B" w14:textId="77777777" w:rsidR="007670BE" w:rsidRDefault="007670BE" w:rsidP="007670BE">
      <w:pPr>
        <w:rPr>
          <w:rFonts w:ascii="Times New Roman" w:eastAsia="Times New Roman" w:hAnsi="Times New Roman" w:cs="Times New Roman"/>
          <w:b/>
          <w:bCs/>
          <w:color w:val="000000"/>
          <w:kern w:val="0"/>
          <w:sz w:val="36"/>
          <w:szCs w:val="36"/>
          <w14:ligatures w14:val="none"/>
        </w:rPr>
      </w:pPr>
    </w:p>
    <w:p w14:paraId="11060335" w14:textId="77777777" w:rsidR="001F34FA" w:rsidRPr="0061118C" w:rsidRDefault="001F34FA" w:rsidP="001F34FA">
      <w:pPr>
        <w:shd w:val="clear" w:color="auto" w:fill="E8E8E8" w:themeFill="background2"/>
        <w:spacing w:line="276" w:lineRule="auto"/>
        <w:jc w:val="center"/>
        <w:rPr>
          <w:b/>
          <w:bCs/>
        </w:rPr>
      </w:pPr>
      <w:r w:rsidRPr="0061118C">
        <w:rPr>
          <w:b/>
          <w:bCs/>
        </w:rPr>
        <w:t>ASSIGNMENTS</w:t>
      </w:r>
    </w:p>
    <w:p w14:paraId="2EB5C34C" w14:textId="77777777" w:rsidR="001F34FA" w:rsidRPr="0061118C" w:rsidRDefault="001F34FA" w:rsidP="001F34FA">
      <w:pPr>
        <w:pStyle w:val="NoSpacing"/>
        <w:spacing w:line="276" w:lineRule="auto"/>
        <w:rPr>
          <w:rFonts w:ascii="Times New Roman" w:eastAsia="Times New Roman" w:hAnsi="Times New Roman" w:cs="Times New Roman"/>
          <w:u w:val="single"/>
        </w:rPr>
      </w:pPr>
    </w:p>
    <w:p w14:paraId="0E12198C" w14:textId="77777777" w:rsidR="001F34FA" w:rsidRPr="0061118C" w:rsidRDefault="001F34FA" w:rsidP="001F34FA">
      <w:pPr>
        <w:pStyle w:val="NoSpacing"/>
        <w:spacing w:line="276" w:lineRule="auto"/>
        <w:rPr>
          <w:rFonts w:ascii="Times New Roman" w:eastAsia="Times New Roman" w:hAnsi="Times New Roman" w:cs="Times New Roman"/>
          <w:u w:val="single"/>
        </w:rPr>
      </w:pPr>
      <w:r w:rsidRPr="0061118C">
        <w:rPr>
          <w:rFonts w:ascii="Times New Roman" w:eastAsia="Times New Roman" w:hAnsi="Times New Roman" w:cs="Times New Roman"/>
          <w:u w:val="single"/>
        </w:rPr>
        <w:t>Participation (</w:t>
      </w:r>
      <w:r>
        <w:rPr>
          <w:rFonts w:ascii="Times New Roman" w:eastAsia="Times New Roman" w:hAnsi="Times New Roman" w:cs="Times New Roman"/>
          <w:u w:val="single"/>
        </w:rPr>
        <w:t>2</w:t>
      </w:r>
      <w:r w:rsidRPr="0061118C">
        <w:rPr>
          <w:rFonts w:ascii="Times New Roman" w:eastAsia="Times New Roman" w:hAnsi="Times New Roman" w:cs="Times New Roman"/>
          <w:u w:val="single"/>
        </w:rPr>
        <w:t>0%)</w:t>
      </w:r>
    </w:p>
    <w:p w14:paraId="676AC8A7" w14:textId="77777777" w:rsidR="001F34FA" w:rsidRDefault="001F34FA" w:rsidP="001F34FA">
      <w:pPr>
        <w:pStyle w:val="NoSpacing"/>
        <w:spacing w:line="276" w:lineRule="auto"/>
        <w:jc w:val="both"/>
        <w:rPr>
          <w:rFonts w:ascii="Times New Roman" w:hAnsi="Times New Roman" w:cs="Times New Roman"/>
          <w:lang w:val="en-US"/>
        </w:rPr>
      </w:pPr>
      <w:r w:rsidRPr="0061118C">
        <w:rPr>
          <w:rFonts w:ascii="Times New Roman" w:hAnsi="Times New Roman" w:cs="Times New Roman"/>
        </w:rPr>
        <w:t xml:space="preserve">Students are expected to actively participate in all of my lectures and discussion sessions. Participation in discussions does not require knowledge of all the answers; thoughtful questions are equally valuable. Intellectually stimulating remarks and questions will potentially raise your participation grade, hence your overall grade for the semester. </w:t>
      </w:r>
      <w:r w:rsidRPr="0061118C">
        <w:rPr>
          <w:rFonts w:ascii="Times New Roman" w:hAnsi="Times New Roman" w:cs="Times New Roman"/>
          <w:lang w:val="en-US"/>
        </w:rPr>
        <w:t xml:space="preserve">If you meaningfully contribute to our discussions —including by asking questions—in approximately half of our courses, this would be the equivalent of a “B.” Occasional participation or participation that does not demonstrate meaningful engagement with the readings is a “C.” By the end of the semester if you participated only in passing (i.e. once or twice) you will get a “D.” Silence is an “F.” The grade of “A” is reserved for students who regularly contribute in a particularly thoughtful way to discussions. </w:t>
      </w:r>
    </w:p>
    <w:p w14:paraId="06A0A2BC" w14:textId="77777777" w:rsidR="001F34FA" w:rsidRPr="0061118C" w:rsidRDefault="001F34FA" w:rsidP="001F34FA">
      <w:pPr>
        <w:pStyle w:val="NoSpacing"/>
        <w:spacing w:line="276" w:lineRule="auto"/>
        <w:jc w:val="both"/>
        <w:rPr>
          <w:rFonts w:ascii="Times New Roman" w:hAnsi="Times New Roman" w:cs="Times New Roman"/>
          <w:u w:val="single"/>
        </w:rPr>
      </w:pPr>
    </w:p>
    <w:p w14:paraId="5B8FC7A2" w14:textId="77777777" w:rsidR="001F34FA" w:rsidRPr="0061118C" w:rsidRDefault="001F34FA" w:rsidP="001F34FA">
      <w:pPr>
        <w:pStyle w:val="NoSpacing"/>
        <w:spacing w:line="276" w:lineRule="auto"/>
        <w:rPr>
          <w:rFonts w:ascii="Times New Roman" w:eastAsia="Times New Roman" w:hAnsi="Times New Roman" w:cs="Times New Roman"/>
        </w:rPr>
      </w:pPr>
      <w:r w:rsidRPr="0061118C">
        <w:rPr>
          <w:rFonts w:ascii="Times New Roman" w:hAnsi="Times New Roman" w:cs="Times New Roman"/>
          <w:u w:val="single"/>
        </w:rPr>
        <w:t>Response Papers</w:t>
      </w:r>
      <w:r>
        <w:rPr>
          <w:rFonts w:ascii="Times New Roman" w:hAnsi="Times New Roman" w:cs="Times New Roman"/>
          <w:u w:val="single"/>
        </w:rPr>
        <w:t xml:space="preserve"> </w:t>
      </w:r>
      <w:r w:rsidRPr="0061118C">
        <w:rPr>
          <w:rFonts w:ascii="Times New Roman" w:hAnsi="Times New Roman" w:cs="Times New Roman"/>
          <w:u w:val="single"/>
        </w:rPr>
        <w:t>(</w:t>
      </w:r>
      <w:r>
        <w:rPr>
          <w:rFonts w:ascii="Times New Roman" w:hAnsi="Times New Roman" w:cs="Times New Roman"/>
          <w:u w:val="single"/>
        </w:rPr>
        <w:t>2</w:t>
      </w:r>
      <w:r w:rsidRPr="0061118C">
        <w:rPr>
          <w:rFonts w:ascii="Times New Roman" w:hAnsi="Times New Roman" w:cs="Times New Roman"/>
          <w:u w:val="single"/>
        </w:rPr>
        <w:t>0%)</w:t>
      </w:r>
      <w:r w:rsidRPr="0061118C">
        <w:rPr>
          <w:rFonts w:ascii="Times New Roman" w:eastAsia="Times New Roman" w:hAnsi="Times New Roman" w:cs="Times New Roman"/>
          <w:u w:val="single"/>
        </w:rPr>
        <w:t>:</w:t>
      </w:r>
    </w:p>
    <w:p w14:paraId="35EA7AAD" w14:textId="77777777" w:rsidR="001F34FA" w:rsidRPr="0061118C" w:rsidRDefault="001F34FA" w:rsidP="001F34FA">
      <w:pPr>
        <w:pStyle w:val="NoSpacing"/>
        <w:spacing w:line="276" w:lineRule="auto"/>
        <w:jc w:val="both"/>
        <w:rPr>
          <w:rFonts w:ascii="Times New Roman" w:eastAsia="Times New Roman" w:hAnsi="Times New Roman" w:cs="Times New Roman"/>
          <w:u w:val="single"/>
        </w:rPr>
      </w:pPr>
      <w:r w:rsidRPr="0061118C">
        <w:rPr>
          <w:rFonts w:ascii="Times New Roman" w:hAnsi="Times New Roman" w:cs="Times New Roman"/>
        </w:rPr>
        <w:t>A response paper is essentially a short reflection (</w:t>
      </w:r>
      <w:r>
        <w:rPr>
          <w:rFonts w:ascii="Times New Roman" w:hAnsi="Times New Roman" w:cs="Times New Roman"/>
        </w:rPr>
        <w:t>approximately 800-1000 Words</w:t>
      </w:r>
      <w:r w:rsidRPr="0061118C">
        <w:rPr>
          <w:rFonts w:ascii="Times New Roman" w:hAnsi="Times New Roman" w:cs="Times New Roman"/>
        </w:rPr>
        <w:t xml:space="preserve">) of your thoughts about the reading assignment’s main argument, format and research methodology etc. Rather than a summary of the text, you tell me whether the argument is convincing or not. You are required to submit </w:t>
      </w:r>
      <w:r>
        <w:rPr>
          <w:rFonts w:ascii="Times New Roman" w:hAnsi="Times New Roman" w:cs="Times New Roman"/>
        </w:rPr>
        <w:t>2</w:t>
      </w:r>
      <w:r w:rsidRPr="0061118C">
        <w:rPr>
          <w:rFonts w:ascii="Times New Roman" w:hAnsi="Times New Roman" w:cs="Times New Roman"/>
        </w:rPr>
        <w:t xml:space="preserve"> response papers throughout the semester (10 points each) on any given </w:t>
      </w:r>
      <w:r>
        <w:rPr>
          <w:rFonts w:ascii="Times New Roman" w:hAnsi="Times New Roman" w:cs="Times New Roman"/>
        </w:rPr>
        <w:t xml:space="preserve">discussion </w:t>
      </w:r>
      <w:r>
        <w:rPr>
          <w:rFonts w:ascii="Times New Roman" w:hAnsi="Times New Roman" w:cs="Times New Roman"/>
        </w:rPr>
        <w:lastRenderedPageBreak/>
        <w:t>session’s</w:t>
      </w:r>
      <w:r w:rsidRPr="0061118C">
        <w:rPr>
          <w:rFonts w:ascii="Times New Roman" w:hAnsi="Times New Roman" w:cs="Times New Roman"/>
        </w:rPr>
        <w:t xml:space="preserve"> readings. </w:t>
      </w:r>
      <w:r>
        <w:rPr>
          <w:rFonts w:ascii="Times New Roman" w:hAnsi="Times New Roman" w:cs="Times New Roman"/>
        </w:rPr>
        <w:t>You will also be leading a discussion with pointed questions on the corresponding week of your response papers.</w:t>
      </w:r>
    </w:p>
    <w:p w14:paraId="7F711D1B" w14:textId="77777777" w:rsidR="001F34FA" w:rsidRPr="0061118C" w:rsidRDefault="001F34FA" w:rsidP="001F34FA">
      <w:pPr>
        <w:pStyle w:val="NoSpacing"/>
        <w:spacing w:line="276" w:lineRule="auto"/>
        <w:rPr>
          <w:rFonts w:ascii="Times New Roman" w:hAnsi="Times New Roman" w:cs="Times New Roman"/>
          <w:u w:val="single"/>
        </w:rPr>
      </w:pPr>
    </w:p>
    <w:p w14:paraId="317681FB" w14:textId="77777777" w:rsidR="001F34FA" w:rsidRPr="0061118C" w:rsidRDefault="001F34FA" w:rsidP="001F34FA">
      <w:pPr>
        <w:pStyle w:val="NoSpacing"/>
        <w:spacing w:line="276" w:lineRule="auto"/>
        <w:rPr>
          <w:rFonts w:ascii="Times New Roman" w:eastAsia="Times New Roman" w:hAnsi="Times New Roman" w:cs="Times New Roman"/>
          <w:u w:val="single"/>
        </w:rPr>
      </w:pPr>
      <w:r w:rsidRPr="0061118C">
        <w:rPr>
          <w:rFonts w:ascii="Times New Roman" w:hAnsi="Times New Roman" w:cs="Times New Roman"/>
          <w:u w:val="single"/>
        </w:rPr>
        <w:t>Final Paper (</w:t>
      </w:r>
      <w:r>
        <w:rPr>
          <w:rFonts w:ascii="Times New Roman" w:hAnsi="Times New Roman" w:cs="Times New Roman"/>
          <w:u w:val="single"/>
        </w:rPr>
        <w:t>6</w:t>
      </w:r>
      <w:r w:rsidRPr="0061118C">
        <w:rPr>
          <w:rFonts w:ascii="Times New Roman" w:hAnsi="Times New Roman" w:cs="Times New Roman"/>
          <w:u w:val="single"/>
        </w:rPr>
        <w:t>0%)</w:t>
      </w:r>
    </w:p>
    <w:p w14:paraId="2A6546B0" w14:textId="77777777" w:rsidR="001F34FA" w:rsidRDefault="001F34FA" w:rsidP="001F34FA">
      <w:pPr>
        <w:pStyle w:val="NoSpacing"/>
        <w:spacing w:line="276" w:lineRule="auto"/>
        <w:jc w:val="both"/>
        <w:rPr>
          <w:rFonts w:ascii="Times New Roman" w:hAnsi="Times New Roman" w:cs="Times New Roman"/>
          <w:u w:color="000000"/>
        </w:rPr>
      </w:pPr>
      <w:r w:rsidRPr="0061118C">
        <w:rPr>
          <w:rFonts w:ascii="Times New Roman" w:hAnsi="Times New Roman" w:cs="Times New Roman"/>
          <w:u w:color="000000"/>
        </w:rPr>
        <w:t xml:space="preserve">This is to be a substantial research paper on a topic developed in consultation with me. Papers will be </w:t>
      </w:r>
      <w:r>
        <w:rPr>
          <w:rFonts w:ascii="Times New Roman" w:hAnsi="Times New Roman" w:cs="Times New Roman"/>
          <w:u w:color="000000"/>
        </w:rPr>
        <w:t>3,</w:t>
      </w:r>
      <w:r w:rsidRPr="0061118C">
        <w:rPr>
          <w:rFonts w:ascii="Times New Roman" w:hAnsi="Times New Roman" w:cs="Times New Roman"/>
          <w:u w:color="000000"/>
        </w:rPr>
        <w:t xml:space="preserve">000 words in length </w:t>
      </w:r>
      <w:r>
        <w:rPr>
          <w:rFonts w:ascii="Times New Roman" w:hAnsi="Times New Roman" w:cs="Times New Roman"/>
          <w:u w:color="000000"/>
        </w:rPr>
        <w:t>excluding footnotes and</w:t>
      </w:r>
      <w:r w:rsidRPr="0061118C">
        <w:rPr>
          <w:rFonts w:ascii="Times New Roman" w:hAnsi="Times New Roman" w:cs="Times New Roman"/>
          <w:u w:color="000000"/>
        </w:rPr>
        <w:t xml:space="preserve"> bibliography. You are also required to schedule a meeting with me to discuss the reading and research materials for your project. I can direct you to appropriate sources but given my teaching load this semester I will not be able to read early drafts and give you preliminary feedback. </w:t>
      </w:r>
      <w:r>
        <w:rPr>
          <w:rFonts w:ascii="Times New Roman" w:hAnsi="Times New Roman" w:cs="Times New Roman"/>
          <w:u w:color="000000"/>
        </w:rPr>
        <w:t>After</w:t>
      </w:r>
      <w:r w:rsidRPr="0061118C">
        <w:rPr>
          <w:rFonts w:ascii="Times New Roman" w:hAnsi="Times New Roman" w:cs="Times New Roman"/>
          <w:u w:color="000000"/>
        </w:rPr>
        <w:t xml:space="preserve"> the Spring Break</w:t>
      </w:r>
      <w:r>
        <w:rPr>
          <w:rFonts w:ascii="Times New Roman" w:hAnsi="Times New Roman" w:cs="Times New Roman"/>
          <w:u w:color="000000"/>
        </w:rPr>
        <w:t>, however,</w:t>
      </w:r>
      <w:r w:rsidRPr="0061118C">
        <w:rPr>
          <w:rFonts w:ascii="Times New Roman" w:hAnsi="Times New Roman" w:cs="Times New Roman"/>
          <w:u w:color="000000"/>
        </w:rPr>
        <w:t xml:space="preserve"> </w:t>
      </w:r>
      <w:r>
        <w:rPr>
          <w:rFonts w:ascii="Times New Roman" w:hAnsi="Times New Roman" w:cs="Times New Roman"/>
          <w:u w:color="000000"/>
        </w:rPr>
        <w:t xml:space="preserve">you will present paper proposals, on which I </w:t>
      </w:r>
      <w:r w:rsidRPr="0061118C">
        <w:rPr>
          <w:rFonts w:ascii="Times New Roman" w:hAnsi="Times New Roman" w:cs="Times New Roman"/>
          <w:u w:color="000000"/>
        </w:rPr>
        <w:t xml:space="preserve">will provide you with comments and instructions. A proper presentation will include (1) a </w:t>
      </w:r>
      <w:r>
        <w:rPr>
          <w:rFonts w:ascii="Times New Roman" w:hAnsi="Times New Roman" w:cs="Times New Roman"/>
          <w:u w:color="000000"/>
        </w:rPr>
        <w:t>semi-</w:t>
      </w:r>
      <w:r w:rsidRPr="0061118C">
        <w:rPr>
          <w:rFonts w:ascii="Times New Roman" w:hAnsi="Times New Roman" w:cs="Times New Roman"/>
          <w:u w:color="000000"/>
        </w:rPr>
        <w:t xml:space="preserve">developed research question; (2) </w:t>
      </w:r>
      <w:r>
        <w:rPr>
          <w:rFonts w:ascii="Times New Roman" w:hAnsi="Times New Roman" w:cs="Times New Roman"/>
          <w:u w:color="000000"/>
        </w:rPr>
        <w:t xml:space="preserve">some sort of </w:t>
      </w:r>
      <w:r w:rsidRPr="0061118C">
        <w:rPr>
          <w:rFonts w:ascii="Times New Roman" w:hAnsi="Times New Roman" w:cs="Times New Roman"/>
          <w:u w:color="000000"/>
        </w:rPr>
        <w:t xml:space="preserve">main argument; (3) preliminary outline; and (4) a </w:t>
      </w:r>
      <w:r>
        <w:rPr>
          <w:rFonts w:ascii="Times New Roman" w:hAnsi="Times New Roman" w:cs="Times New Roman"/>
          <w:u w:color="000000"/>
        </w:rPr>
        <w:t xml:space="preserve">simple </w:t>
      </w:r>
      <w:r w:rsidRPr="0061118C">
        <w:rPr>
          <w:rFonts w:ascii="Times New Roman" w:hAnsi="Times New Roman" w:cs="Times New Roman"/>
          <w:u w:color="000000"/>
        </w:rPr>
        <w:t xml:space="preserve">bibliography that includes secondary and – if possible – primary sources. </w:t>
      </w:r>
      <w:r>
        <w:rPr>
          <w:rFonts w:ascii="Times New Roman" w:hAnsi="Times New Roman" w:cs="Times New Roman"/>
          <w:u w:color="000000"/>
        </w:rPr>
        <w:t xml:space="preserve">The key here is to be bold and innovative rather than overzealously academic, which leads to nothing but boring papers. </w:t>
      </w:r>
    </w:p>
    <w:p w14:paraId="72210FA1" w14:textId="77777777" w:rsidR="001F34FA" w:rsidRDefault="001F34FA" w:rsidP="001F34FA">
      <w:pPr>
        <w:rPr>
          <w:rFonts w:ascii="Times New Roman" w:eastAsia="Times New Roman" w:hAnsi="Times New Roman" w:cs="Times New Roman"/>
          <w:b/>
          <w:bCs/>
          <w:color w:val="000000"/>
          <w:kern w:val="0"/>
          <w:sz w:val="36"/>
          <w:szCs w:val="36"/>
          <w14:ligatures w14:val="none"/>
        </w:rPr>
      </w:pPr>
    </w:p>
    <w:p w14:paraId="79618EF5" w14:textId="76918853" w:rsidR="001F34FA" w:rsidRPr="0061118C" w:rsidRDefault="001F34FA" w:rsidP="001F34FA">
      <w:pPr>
        <w:shd w:val="clear" w:color="auto" w:fill="E8E8E8" w:themeFill="background2"/>
        <w:spacing w:line="276" w:lineRule="auto"/>
        <w:jc w:val="center"/>
        <w:rPr>
          <w:b/>
          <w:bCs/>
        </w:rPr>
      </w:pPr>
      <w:r>
        <w:rPr>
          <w:b/>
          <w:bCs/>
        </w:rPr>
        <w:t>WEEKLY SCHEDULE</w:t>
      </w:r>
    </w:p>
    <w:p w14:paraId="2EB64B1C" w14:textId="77777777" w:rsidR="001F34FA" w:rsidRPr="0061118C" w:rsidRDefault="001F34FA" w:rsidP="001F34FA">
      <w:pPr>
        <w:pStyle w:val="NoSpacing"/>
        <w:spacing w:line="276" w:lineRule="auto"/>
        <w:rPr>
          <w:rFonts w:ascii="Times New Roman" w:eastAsia="Times New Roman" w:hAnsi="Times New Roman" w:cs="Times New Roman"/>
          <w:u w:val="single"/>
        </w:rPr>
      </w:pPr>
    </w:p>
    <w:p w14:paraId="427EB874" w14:textId="2806043C" w:rsidR="007670BE" w:rsidRPr="001F34FA" w:rsidRDefault="007670BE" w:rsidP="001F34FA">
      <w:pPr>
        <w:spacing w:before="100" w:beforeAutospacing="1" w:after="100" w:afterAutospacing="1"/>
        <w:jc w:val="center"/>
        <w:outlineLvl w:val="2"/>
        <w:rPr>
          <w:rFonts w:ascii="Times New Roman" w:eastAsia="Times New Roman" w:hAnsi="Times New Roman" w:cs="Times New Roman"/>
          <w:b/>
          <w:bCs/>
          <w:color w:val="000000"/>
          <w:kern w:val="0"/>
          <w:sz w:val="32"/>
          <w:szCs w:val="32"/>
          <w14:ligatures w14:val="none"/>
        </w:rPr>
      </w:pPr>
      <w:r w:rsidRPr="001F34FA">
        <w:rPr>
          <w:rFonts w:ascii="Times New Roman" w:eastAsia="Times New Roman" w:hAnsi="Times New Roman" w:cs="Times New Roman"/>
          <w:b/>
          <w:bCs/>
          <w:color w:val="000000"/>
          <w:kern w:val="0"/>
          <w:sz w:val="32"/>
          <w:szCs w:val="32"/>
          <w14:ligatures w14:val="none"/>
        </w:rPr>
        <w:t>Part I: Empire Ascendant, 1725–1881</w:t>
      </w:r>
    </w:p>
    <w:p w14:paraId="1277145B"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1 — Autocracy After Peter: Succession and Stability</w:t>
      </w:r>
    </w:p>
    <w:p w14:paraId="7D54B535" w14:textId="77777777" w:rsidR="007670BE" w:rsidRPr="007670BE" w:rsidRDefault="007670BE" w:rsidP="007670BE">
      <w:pPr>
        <w:numPr>
          <w:ilvl w:val="0"/>
          <w:numId w:val="2"/>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Reading:</w:t>
      </w:r>
      <w:r w:rsidRPr="007670BE">
        <w:rPr>
          <w:rFonts w:ascii="Times New Roman" w:eastAsia="Times New Roman" w:hAnsi="Times New Roman" w:cs="Times New Roman"/>
          <w:color w:val="000000"/>
          <w:kern w:val="0"/>
          <w14:ligatures w14:val="none"/>
        </w:rPr>
        <w:t> Isabel de Madariaga, “Russia in the Age of Catherine the Great” (Cambridge, 1981), Ch. 1</w:t>
      </w:r>
    </w:p>
    <w:p w14:paraId="35B89D67" w14:textId="77777777" w:rsidR="007670BE" w:rsidRPr="007670BE" w:rsidRDefault="007670BE" w:rsidP="007670BE">
      <w:pPr>
        <w:numPr>
          <w:ilvl w:val="0"/>
          <w:numId w:val="2"/>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A. Pushkin, </w:t>
      </w:r>
      <w:r w:rsidRPr="007670BE">
        <w:rPr>
          <w:rFonts w:ascii="Times New Roman" w:eastAsia="Times New Roman" w:hAnsi="Times New Roman" w:cs="Times New Roman"/>
          <w:i/>
          <w:iCs/>
          <w:color w:val="000000"/>
          <w:kern w:val="0"/>
          <w14:ligatures w14:val="none"/>
        </w:rPr>
        <w:t>The Bronze Horseman</w:t>
      </w:r>
    </w:p>
    <w:p w14:paraId="067B4885" w14:textId="77777777" w:rsidR="007670BE" w:rsidRPr="007670BE" w:rsidRDefault="007670BE" w:rsidP="007670BE">
      <w:pPr>
        <w:numPr>
          <w:ilvl w:val="0"/>
          <w:numId w:val="2"/>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Post-Petrine statecraft, imperial vision, Petersburg as metaphor.</w:t>
      </w:r>
    </w:p>
    <w:p w14:paraId="4299D076"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22A48D3">
          <v:rect id="_x0000_i1036" alt="" style="width:468pt;height:.05pt;mso-width-percent:0;mso-height-percent:0;mso-width-percent:0;mso-height-percent:0" o:hralign="center" o:hrstd="t" o:hr="t" fillcolor="#a0a0a0" stroked="f"/>
        </w:pict>
      </w:r>
    </w:p>
    <w:p w14:paraId="21DF16E9"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2 — Catherine the Great and Enlightened Absolutism</w:t>
      </w:r>
    </w:p>
    <w:p w14:paraId="067EAC89" w14:textId="77777777" w:rsidR="007670BE" w:rsidRPr="007670BE" w:rsidRDefault="007670BE" w:rsidP="007670BE">
      <w:pPr>
        <w:numPr>
          <w:ilvl w:val="0"/>
          <w:numId w:val="3"/>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Reading:</w:t>
      </w:r>
      <w:r w:rsidRPr="007670BE">
        <w:rPr>
          <w:rFonts w:ascii="Times New Roman" w:eastAsia="Times New Roman" w:hAnsi="Times New Roman" w:cs="Times New Roman"/>
          <w:color w:val="000000"/>
          <w:kern w:val="0"/>
          <w14:ligatures w14:val="none"/>
        </w:rPr>
        <w:t> Richard Wortman, </w:t>
      </w:r>
      <w:r w:rsidRPr="007670BE">
        <w:rPr>
          <w:rFonts w:ascii="Times New Roman" w:eastAsia="Times New Roman" w:hAnsi="Times New Roman" w:cs="Times New Roman"/>
          <w:i/>
          <w:iCs/>
          <w:color w:val="000000"/>
          <w:kern w:val="0"/>
          <w14:ligatures w14:val="none"/>
        </w:rPr>
        <w:t>Scenarios of Power</w:t>
      </w:r>
      <w:r w:rsidRPr="007670BE">
        <w:rPr>
          <w:rFonts w:ascii="Times New Roman" w:eastAsia="Times New Roman" w:hAnsi="Times New Roman" w:cs="Times New Roman"/>
          <w:color w:val="000000"/>
          <w:kern w:val="0"/>
          <w14:ligatures w14:val="none"/>
        </w:rPr>
        <w:t>, vol. 1, Ch. 3 (“The Empress and the Enlightenment”)</w:t>
      </w:r>
    </w:p>
    <w:p w14:paraId="44ADA69C" w14:textId="77777777" w:rsidR="007670BE" w:rsidRPr="007670BE" w:rsidRDefault="007670BE" w:rsidP="007670BE">
      <w:pPr>
        <w:numPr>
          <w:ilvl w:val="0"/>
          <w:numId w:val="3"/>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A. Pushkin, </w:t>
      </w:r>
      <w:r w:rsidRPr="007670BE">
        <w:rPr>
          <w:rFonts w:ascii="Times New Roman" w:eastAsia="Times New Roman" w:hAnsi="Times New Roman" w:cs="Times New Roman"/>
          <w:i/>
          <w:iCs/>
          <w:color w:val="000000"/>
          <w:kern w:val="0"/>
          <w14:ligatures w14:val="none"/>
        </w:rPr>
        <w:t>The Captain’s Daughter</w:t>
      </w:r>
    </w:p>
    <w:p w14:paraId="54DD9A45" w14:textId="77777777" w:rsidR="007670BE" w:rsidRPr="007670BE" w:rsidRDefault="007670BE" w:rsidP="007670BE">
      <w:pPr>
        <w:numPr>
          <w:ilvl w:val="0"/>
          <w:numId w:val="3"/>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Autocracy and reform, imperial ideology, mythmaking.</w:t>
      </w:r>
    </w:p>
    <w:p w14:paraId="54741C9C"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B38855D">
          <v:rect id="_x0000_i1035" alt="" style="width:468pt;height:.05pt;mso-width-percent:0;mso-height-percent:0;mso-width-percent:0;mso-height-percent:0" o:hralign="center" o:hrstd="t" o:hr="t" fillcolor="#a0a0a0" stroked="f"/>
        </w:pict>
      </w:r>
    </w:p>
    <w:p w14:paraId="057A7AD2"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3 — The Age of Reaction: Nicholas I and Official Nationality</w:t>
      </w:r>
    </w:p>
    <w:p w14:paraId="46C67E37" w14:textId="77777777" w:rsidR="007670BE" w:rsidRPr="007670BE" w:rsidRDefault="007670BE" w:rsidP="007670BE">
      <w:pPr>
        <w:numPr>
          <w:ilvl w:val="0"/>
          <w:numId w:val="4"/>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Reading:</w:t>
      </w:r>
      <w:r w:rsidRPr="007670BE">
        <w:rPr>
          <w:rFonts w:ascii="Times New Roman" w:eastAsia="Times New Roman" w:hAnsi="Times New Roman" w:cs="Times New Roman"/>
          <w:color w:val="000000"/>
          <w:kern w:val="0"/>
          <w14:ligatures w14:val="none"/>
        </w:rPr>
        <w:t> Nicholas Riasanovsky, “Nationality and Official Ideology under Nicholas I,” </w:t>
      </w:r>
      <w:r w:rsidRPr="007670BE">
        <w:rPr>
          <w:rFonts w:ascii="Times New Roman" w:eastAsia="Times New Roman" w:hAnsi="Times New Roman" w:cs="Times New Roman"/>
          <w:i/>
          <w:iCs/>
          <w:color w:val="000000"/>
          <w:kern w:val="0"/>
          <w14:ligatures w14:val="none"/>
        </w:rPr>
        <w:t>Russian Review</w:t>
      </w:r>
      <w:r w:rsidRPr="007670BE">
        <w:rPr>
          <w:rFonts w:ascii="Times New Roman" w:eastAsia="Times New Roman" w:hAnsi="Times New Roman" w:cs="Times New Roman"/>
          <w:color w:val="000000"/>
          <w:kern w:val="0"/>
          <w14:ligatures w14:val="none"/>
        </w:rPr>
        <w:t> 19:1 (1960)</w:t>
      </w:r>
    </w:p>
    <w:p w14:paraId="47E4D919" w14:textId="77777777" w:rsidR="007670BE" w:rsidRPr="007670BE" w:rsidRDefault="007670BE" w:rsidP="007670BE">
      <w:pPr>
        <w:numPr>
          <w:ilvl w:val="0"/>
          <w:numId w:val="4"/>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N. Gogol, </w:t>
      </w:r>
      <w:r w:rsidRPr="007670BE">
        <w:rPr>
          <w:rFonts w:ascii="Times New Roman" w:eastAsia="Times New Roman" w:hAnsi="Times New Roman" w:cs="Times New Roman"/>
          <w:i/>
          <w:iCs/>
          <w:color w:val="000000"/>
          <w:kern w:val="0"/>
          <w14:ligatures w14:val="none"/>
        </w:rPr>
        <w:t>The Government Inspector</w:t>
      </w:r>
    </w:p>
    <w:p w14:paraId="31697B1C" w14:textId="77777777" w:rsidR="007670BE" w:rsidRPr="007670BE" w:rsidRDefault="007670BE" w:rsidP="007670BE">
      <w:pPr>
        <w:numPr>
          <w:ilvl w:val="0"/>
          <w:numId w:val="4"/>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lastRenderedPageBreak/>
        <w:t>Themes:</w:t>
      </w:r>
      <w:r w:rsidRPr="007670BE">
        <w:rPr>
          <w:rFonts w:ascii="Times New Roman" w:eastAsia="Times New Roman" w:hAnsi="Times New Roman" w:cs="Times New Roman"/>
          <w:color w:val="000000"/>
          <w:kern w:val="0"/>
          <w14:ligatures w14:val="none"/>
        </w:rPr>
        <w:t> Bureaucratic empire, censorship, the absurdities of power.</w:t>
      </w:r>
    </w:p>
    <w:p w14:paraId="36A4B1A5"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614243">
          <v:rect id="_x0000_i1034" alt="" style="width:468pt;height:.05pt;mso-width-percent:0;mso-height-percent:0;mso-width-percent:0;mso-height-percent:0" o:hralign="center" o:hrstd="t" o:hr="t" fillcolor="#a0a0a0" stroked="f"/>
        </w:pict>
      </w:r>
    </w:p>
    <w:p w14:paraId="673FE3ED"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4 — Crimean War and Reformist Impulses</w:t>
      </w:r>
    </w:p>
    <w:p w14:paraId="1917E4E6" w14:textId="77777777" w:rsidR="007670BE" w:rsidRPr="007670BE" w:rsidRDefault="007670BE" w:rsidP="007670BE">
      <w:pPr>
        <w:numPr>
          <w:ilvl w:val="0"/>
          <w:numId w:val="5"/>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Reading:</w:t>
      </w:r>
      <w:r w:rsidRPr="007670BE">
        <w:rPr>
          <w:rFonts w:ascii="Times New Roman" w:eastAsia="Times New Roman" w:hAnsi="Times New Roman" w:cs="Times New Roman"/>
          <w:color w:val="000000"/>
          <w:kern w:val="0"/>
          <w14:ligatures w14:val="none"/>
        </w:rPr>
        <w:t> David Saunders, </w:t>
      </w:r>
      <w:r w:rsidRPr="007670BE">
        <w:rPr>
          <w:rFonts w:ascii="Times New Roman" w:eastAsia="Times New Roman" w:hAnsi="Times New Roman" w:cs="Times New Roman"/>
          <w:i/>
          <w:iCs/>
          <w:color w:val="000000"/>
          <w:kern w:val="0"/>
          <w14:ligatures w14:val="none"/>
        </w:rPr>
        <w:t>Russia in the Age of Reaction and Reform</w:t>
      </w:r>
      <w:r w:rsidRPr="007670BE">
        <w:rPr>
          <w:rFonts w:ascii="Times New Roman" w:eastAsia="Times New Roman" w:hAnsi="Times New Roman" w:cs="Times New Roman"/>
          <w:color w:val="000000"/>
          <w:kern w:val="0"/>
          <w14:ligatures w14:val="none"/>
        </w:rPr>
        <w:t> (Longman, 1992), Ch. 2</w:t>
      </w:r>
    </w:p>
    <w:p w14:paraId="44B51150" w14:textId="77777777" w:rsidR="007670BE" w:rsidRPr="007670BE" w:rsidRDefault="007670BE" w:rsidP="007670BE">
      <w:pPr>
        <w:numPr>
          <w:ilvl w:val="0"/>
          <w:numId w:val="5"/>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L. Tolstoy, </w:t>
      </w:r>
      <w:r w:rsidRPr="007670BE">
        <w:rPr>
          <w:rFonts w:ascii="Times New Roman" w:eastAsia="Times New Roman" w:hAnsi="Times New Roman" w:cs="Times New Roman"/>
          <w:i/>
          <w:iCs/>
          <w:color w:val="000000"/>
          <w:kern w:val="0"/>
          <w14:ligatures w14:val="none"/>
        </w:rPr>
        <w:t>Sevastopol Sketches</w:t>
      </w:r>
    </w:p>
    <w:p w14:paraId="71660805" w14:textId="77777777" w:rsidR="007670BE" w:rsidRPr="007670BE" w:rsidRDefault="007670BE" w:rsidP="007670BE">
      <w:pPr>
        <w:numPr>
          <w:ilvl w:val="0"/>
          <w:numId w:val="5"/>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War and legitimacy, imperial weakness, calls for modernization.</w:t>
      </w:r>
    </w:p>
    <w:p w14:paraId="724E9F79"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837D963">
          <v:rect id="_x0000_i1033" alt="" style="width:468pt;height:.05pt;mso-width-percent:0;mso-height-percent:0;mso-width-percent:0;mso-height-percent:0" o:hralign="center" o:hrstd="t" o:hr="t" fillcolor="#a0a0a0" stroked="f"/>
        </w:pict>
      </w:r>
    </w:p>
    <w:p w14:paraId="4D48E84E" w14:textId="18F2C534"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5 — Emancipation and the Great Reforms</w:t>
      </w:r>
    </w:p>
    <w:p w14:paraId="0104E237" w14:textId="77777777" w:rsidR="007670BE" w:rsidRPr="007670BE" w:rsidRDefault="007670BE" w:rsidP="007670BE">
      <w:pPr>
        <w:numPr>
          <w:ilvl w:val="0"/>
          <w:numId w:val="6"/>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Reading:</w:t>
      </w:r>
      <w:r w:rsidRPr="007670BE">
        <w:rPr>
          <w:rFonts w:ascii="Times New Roman" w:eastAsia="Times New Roman" w:hAnsi="Times New Roman" w:cs="Times New Roman"/>
          <w:color w:val="000000"/>
          <w:kern w:val="0"/>
          <w14:ligatures w14:val="none"/>
        </w:rPr>
        <w:t> Terence Emmons, “Emancipation and the Great Reforms,” in </w:t>
      </w:r>
      <w:r w:rsidRPr="007670BE">
        <w:rPr>
          <w:rFonts w:ascii="Times New Roman" w:eastAsia="Times New Roman" w:hAnsi="Times New Roman" w:cs="Times New Roman"/>
          <w:i/>
          <w:iCs/>
          <w:color w:val="000000"/>
          <w:kern w:val="0"/>
          <w14:ligatures w14:val="none"/>
        </w:rPr>
        <w:t>The Cambridge History of Russia</w:t>
      </w:r>
      <w:r w:rsidRPr="007670BE">
        <w:rPr>
          <w:rFonts w:ascii="Times New Roman" w:eastAsia="Times New Roman" w:hAnsi="Times New Roman" w:cs="Times New Roman"/>
          <w:color w:val="000000"/>
          <w:kern w:val="0"/>
          <w14:ligatures w14:val="none"/>
        </w:rPr>
        <w:t>, vol. II</w:t>
      </w:r>
    </w:p>
    <w:p w14:paraId="3366FE58" w14:textId="77777777" w:rsidR="007670BE" w:rsidRPr="007670BE" w:rsidRDefault="007670BE" w:rsidP="007670BE">
      <w:pPr>
        <w:numPr>
          <w:ilvl w:val="0"/>
          <w:numId w:val="6"/>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I. Turgenev, </w:t>
      </w:r>
      <w:r w:rsidRPr="007670BE">
        <w:rPr>
          <w:rFonts w:ascii="Times New Roman" w:eastAsia="Times New Roman" w:hAnsi="Times New Roman" w:cs="Times New Roman"/>
          <w:i/>
          <w:iCs/>
          <w:color w:val="000000"/>
          <w:kern w:val="0"/>
          <w14:ligatures w14:val="none"/>
        </w:rPr>
        <w:t>Fathers and Sons</w:t>
      </w:r>
    </w:p>
    <w:p w14:paraId="11384FD0" w14:textId="77777777" w:rsidR="007670BE" w:rsidRPr="007670BE" w:rsidRDefault="007670BE" w:rsidP="007670BE">
      <w:pPr>
        <w:numPr>
          <w:ilvl w:val="0"/>
          <w:numId w:val="6"/>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Social transformation, liberalism vs. nihilism, generational conflict.</w:t>
      </w:r>
    </w:p>
    <w:p w14:paraId="385A9560"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19B64AA">
          <v:rect id="_x0000_i1032" alt="" style="width:468pt;height:.05pt;mso-width-percent:0;mso-height-percent:0;mso-width-percent:0;mso-height-percent:0" o:hralign="center" o:hrstd="t" o:hr="t" fillcolor="#a0a0a0" stroked="f"/>
        </w:pict>
      </w:r>
    </w:p>
    <w:p w14:paraId="0621458E"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6 — Industrialization and the Seeds of Change</w:t>
      </w:r>
    </w:p>
    <w:p w14:paraId="457600E6" w14:textId="77777777" w:rsidR="007670BE" w:rsidRPr="007670BE" w:rsidRDefault="007670BE" w:rsidP="007670BE">
      <w:pPr>
        <w:numPr>
          <w:ilvl w:val="0"/>
          <w:numId w:val="7"/>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Reading:</w:t>
      </w:r>
      <w:r w:rsidRPr="007670BE">
        <w:rPr>
          <w:rFonts w:ascii="Times New Roman" w:eastAsia="Times New Roman" w:hAnsi="Times New Roman" w:cs="Times New Roman"/>
          <w:color w:val="000000"/>
          <w:kern w:val="0"/>
          <w14:ligatures w14:val="none"/>
        </w:rPr>
        <w:t> Theodore Von Laue, “The Industrialization of Russia,” </w:t>
      </w:r>
      <w:r w:rsidRPr="007670BE">
        <w:rPr>
          <w:rFonts w:ascii="Times New Roman" w:eastAsia="Times New Roman" w:hAnsi="Times New Roman" w:cs="Times New Roman"/>
          <w:i/>
          <w:iCs/>
          <w:color w:val="000000"/>
          <w:kern w:val="0"/>
          <w14:ligatures w14:val="none"/>
        </w:rPr>
        <w:t>Slavic Review</w:t>
      </w:r>
      <w:r w:rsidRPr="007670BE">
        <w:rPr>
          <w:rFonts w:ascii="Times New Roman" w:eastAsia="Times New Roman" w:hAnsi="Times New Roman" w:cs="Times New Roman"/>
          <w:color w:val="000000"/>
          <w:kern w:val="0"/>
          <w14:ligatures w14:val="none"/>
        </w:rPr>
        <w:t> 25:1 (1966)</w:t>
      </w:r>
    </w:p>
    <w:p w14:paraId="5B0D46C1" w14:textId="77777777" w:rsidR="007670BE" w:rsidRPr="007670BE" w:rsidRDefault="007670BE" w:rsidP="007670BE">
      <w:pPr>
        <w:numPr>
          <w:ilvl w:val="0"/>
          <w:numId w:val="7"/>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F. Dostoevsky, </w:t>
      </w:r>
      <w:r w:rsidRPr="007670BE">
        <w:rPr>
          <w:rFonts w:ascii="Times New Roman" w:eastAsia="Times New Roman" w:hAnsi="Times New Roman" w:cs="Times New Roman"/>
          <w:i/>
          <w:iCs/>
          <w:color w:val="000000"/>
          <w:kern w:val="0"/>
          <w14:ligatures w14:val="none"/>
        </w:rPr>
        <w:t>Notes from Underground</w:t>
      </w:r>
    </w:p>
    <w:p w14:paraId="276033BB" w14:textId="77777777" w:rsidR="007670BE" w:rsidRPr="007670BE" w:rsidRDefault="007670BE" w:rsidP="007670BE">
      <w:pPr>
        <w:numPr>
          <w:ilvl w:val="0"/>
          <w:numId w:val="7"/>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Urbanization, social dislocation, alienation and modernity.</w:t>
      </w:r>
    </w:p>
    <w:p w14:paraId="30AD49B4" w14:textId="756BAE91" w:rsidR="007670BE" w:rsidRPr="007670BE" w:rsidRDefault="007670BE" w:rsidP="007670BE">
      <w:pPr>
        <w:rPr>
          <w:rFonts w:ascii="Times New Roman" w:eastAsia="Times New Roman" w:hAnsi="Times New Roman" w:cs="Times New Roman"/>
          <w:kern w:val="0"/>
          <w14:ligatures w14:val="none"/>
        </w:rPr>
      </w:pPr>
    </w:p>
    <w:p w14:paraId="02F13DC9" w14:textId="77777777" w:rsidR="007670BE" w:rsidRPr="001F34FA" w:rsidRDefault="007670BE" w:rsidP="001F34FA">
      <w:pPr>
        <w:spacing w:before="100" w:beforeAutospacing="1" w:after="100" w:afterAutospacing="1"/>
        <w:jc w:val="center"/>
        <w:outlineLvl w:val="2"/>
        <w:rPr>
          <w:rFonts w:ascii="Times New Roman" w:eastAsia="Times New Roman" w:hAnsi="Times New Roman" w:cs="Times New Roman"/>
          <w:b/>
          <w:bCs/>
          <w:color w:val="000000"/>
          <w:kern w:val="0"/>
          <w:sz w:val="32"/>
          <w:szCs w:val="32"/>
          <w14:ligatures w14:val="none"/>
        </w:rPr>
      </w:pPr>
      <w:r w:rsidRPr="001F34FA">
        <w:rPr>
          <w:rFonts w:ascii="Times New Roman" w:eastAsia="Times New Roman" w:hAnsi="Times New Roman" w:cs="Times New Roman"/>
          <w:b/>
          <w:bCs/>
          <w:color w:val="000000"/>
          <w:kern w:val="0"/>
          <w:sz w:val="32"/>
          <w:szCs w:val="32"/>
          <w14:ligatures w14:val="none"/>
        </w:rPr>
        <w:t>Part II: Crisis and Collapse, 1881–1917</w:t>
      </w:r>
    </w:p>
    <w:p w14:paraId="7BDBEEC1"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color w:val="000000"/>
          <w:kern w:val="0"/>
          <w14:ligatures w14:val="none"/>
        </w:rPr>
        <w:t>(</w:t>
      </w:r>
      <w:r w:rsidRPr="007670BE">
        <w:rPr>
          <w:rFonts w:ascii="Times New Roman" w:eastAsia="Times New Roman" w:hAnsi="Times New Roman" w:cs="Times New Roman"/>
          <w:i/>
          <w:iCs/>
          <w:color w:val="000000"/>
          <w:kern w:val="0"/>
          <w14:ligatures w14:val="none"/>
        </w:rPr>
        <w:t>All historical readings from Onur Işci, Harp Yahut İhtilal: Rusya İmparatorluğu'nun Çöküşü</w:t>
      </w:r>
      <w:r w:rsidRPr="007670BE">
        <w:rPr>
          <w:rFonts w:ascii="Times New Roman" w:eastAsia="Times New Roman" w:hAnsi="Times New Roman" w:cs="Times New Roman"/>
          <w:color w:val="000000"/>
          <w:kern w:val="0"/>
          <w14:ligatures w14:val="none"/>
        </w:rPr>
        <w:t>)</w:t>
      </w:r>
    </w:p>
    <w:p w14:paraId="3F635ECC"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7 — Autocracy Under Siege: Alexander III and the Counter-Reform Era</w:t>
      </w:r>
    </w:p>
    <w:p w14:paraId="62388C1A" w14:textId="77777777" w:rsidR="007670BE" w:rsidRPr="007670BE" w:rsidRDefault="007670BE" w:rsidP="007670BE">
      <w:pPr>
        <w:numPr>
          <w:ilvl w:val="0"/>
          <w:numId w:val="8"/>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M. Saltykov-Shchedrin, </w:t>
      </w:r>
      <w:r w:rsidRPr="007670BE">
        <w:rPr>
          <w:rFonts w:ascii="Times New Roman" w:eastAsia="Times New Roman" w:hAnsi="Times New Roman" w:cs="Times New Roman"/>
          <w:i/>
          <w:iCs/>
          <w:color w:val="000000"/>
          <w:kern w:val="0"/>
          <w14:ligatures w14:val="none"/>
        </w:rPr>
        <w:t>The Golovlyov Family</w:t>
      </w:r>
      <w:r w:rsidRPr="007670BE">
        <w:rPr>
          <w:rFonts w:ascii="Times New Roman" w:eastAsia="Times New Roman" w:hAnsi="Times New Roman" w:cs="Times New Roman"/>
          <w:color w:val="000000"/>
          <w:kern w:val="0"/>
          <w14:ligatures w14:val="none"/>
        </w:rPr>
        <w:t> (selections)</w:t>
      </w:r>
    </w:p>
    <w:p w14:paraId="2E63B30A" w14:textId="77777777" w:rsidR="007670BE" w:rsidRPr="007670BE" w:rsidRDefault="007670BE" w:rsidP="007670BE">
      <w:pPr>
        <w:numPr>
          <w:ilvl w:val="0"/>
          <w:numId w:val="8"/>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Reaction, repression, and the consolidation of state power.</w:t>
      </w:r>
    </w:p>
    <w:p w14:paraId="41D84832"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9AE7586">
          <v:rect id="_x0000_i1031" alt="" style="width:468pt;height:.05pt;mso-width-percent:0;mso-height-percent:0;mso-width-percent:0;mso-height-percent:0" o:hralign="center" o:hrstd="t" o:hr="t" fillcolor="#a0a0a0" stroked="f"/>
        </w:pict>
      </w:r>
    </w:p>
    <w:p w14:paraId="21567D88"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8 — Empire of Nations: Nationality, Russification, and Resistance</w:t>
      </w:r>
    </w:p>
    <w:p w14:paraId="0E1A9C4E" w14:textId="77777777" w:rsidR="007670BE" w:rsidRPr="007670BE" w:rsidRDefault="007670BE" w:rsidP="007670BE">
      <w:pPr>
        <w:numPr>
          <w:ilvl w:val="0"/>
          <w:numId w:val="9"/>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G. Uspensky, </w:t>
      </w:r>
      <w:r w:rsidRPr="007670BE">
        <w:rPr>
          <w:rFonts w:ascii="Times New Roman" w:eastAsia="Times New Roman" w:hAnsi="Times New Roman" w:cs="Times New Roman"/>
          <w:i/>
          <w:iCs/>
          <w:color w:val="000000"/>
          <w:kern w:val="0"/>
          <w14:ligatures w14:val="none"/>
        </w:rPr>
        <w:t>The Peasant and the Intelligentsia</w:t>
      </w:r>
      <w:r w:rsidRPr="007670BE">
        <w:rPr>
          <w:rFonts w:ascii="Times New Roman" w:eastAsia="Times New Roman" w:hAnsi="Times New Roman" w:cs="Times New Roman"/>
          <w:color w:val="000000"/>
          <w:kern w:val="0"/>
          <w14:ligatures w14:val="none"/>
        </w:rPr>
        <w:t> (selections)</w:t>
      </w:r>
    </w:p>
    <w:p w14:paraId="2DEB2445" w14:textId="77777777" w:rsidR="007670BE" w:rsidRPr="007670BE" w:rsidRDefault="007670BE" w:rsidP="007670BE">
      <w:pPr>
        <w:numPr>
          <w:ilvl w:val="0"/>
          <w:numId w:val="9"/>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National policies, imperial peripheries, colonial governance.</w:t>
      </w:r>
    </w:p>
    <w:p w14:paraId="30DB2CEE"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74DF6819">
          <v:rect id="_x0000_i1030" alt="" style="width:468pt;height:.05pt;mso-width-percent:0;mso-height-percent:0;mso-width-percent:0;mso-height-percent:0" o:hralign="center" o:hrstd="t" o:hr="t" fillcolor="#a0a0a0" stroked="f"/>
        </w:pict>
      </w:r>
    </w:p>
    <w:p w14:paraId="63577356"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9 — The Rise of Revolutionary Thought</w:t>
      </w:r>
    </w:p>
    <w:p w14:paraId="2CF09205" w14:textId="77777777" w:rsidR="007670BE" w:rsidRPr="007670BE" w:rsidRDefault="007670BE" w:rsidP="007670BE">
      <w:pPr>
        <w:numPr>
          <w:ilvl w:val="0"/>
          <w:numId w:val="10"/>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N. Chernyshevsky, </w:t>
      </w:r>
      <w:r w:rsidRPr="007670BE">
        <w:rPr>
          <w:rFonts w:ascii="Times New Roman" w:eastAsia="Times New Roman" w:hAnsi="Times New Roman" w:cs="Times New Roman"/>
          <w:i/>
          <w:iCs/>
          <w:color w:val="000000"/>
          <w:kern w:val="0"/>
          <w14:ligatures w14:val="none"/>
        </w:rPr>
        <w:t>What Is to Be Done?</w:t>
      </w:r>
      <w:r w:rsidRPr="007670BE">
        <w:rPr>
          <w:rFonts w:ascii="Times New Roman" w:eastAsia="Times New Roman" w:hAnsi="Times New Roman" w:cs="Times New Roman"/>
          <w:color w:val="000000"/>
          <w:kern w:val="0"/>
          <w14:ligatures w14:val="none"/>
        </w:rPr>
        <w:t> (selections)</w:t>
      </w:r>
    </w:p>
    <w:p w14:paraId="241E9340" w14:textId="77777777" w:rsidR="007670BE" w:rsidRPr="007670BE" w:rsidRDefault="007670BE" w:rsidP="007670BE">
      <w:pPr>
        <w:numPr>
          <w:ilvl w:val="0"/>
          <w:numId w:val="10"/>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Populism, Marxism, and the intellectual roots of revolution.</w:t>
      </w:r>
    </w:p>
    <w:p w14:paraId="4403B207"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9A97FCB">
          <v:rect id="_x0000_i1029" alt="" style="width:468pt;height:.05pt;mso-width-percent:0;mso-height-percent:0;mso-width-percent:0;mso-height-percent:0" o:hralign="center" o:hrstd="t" o:hr="t" fillcolor="#a0a0a0" stroked="f"/>
        </w:pict>
      </w:r>
    </w:p>
    <w:p w14:paraId="5CD17DB9"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10 — 1905: Revolution and Reform</w:t>
      </w:r>
    </w:p>
    <w:p w14:paraId="6BD11179" w14:textId="77777777" w:rsidR="007670BE" w:rsidRPr="007670BE" w:rsidRDefault="007670BE" w:rsidP="007670BE">
      <w:pPr>
        <w:numPr>
          <w:ilvl w:val="0"/>
          <w:numId w:val="11"/>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L. Andreev, </w:t>
      </w:r>
      <w:r w:rsidRPr="007670BE">
        <w:rPr>
          <w:rFonts w:ascii="Times New Roman" w:eastAsia="Times New Roman" w:hAnsi="Times New Roman" w:cs="Times New Roman"/>
          <w:i/>
          <w:iCs/>
          <w:color w:val="000000"/>
          <w:kern w:val="0"/>
          <w14:ligatures w14:val="none"/>
        </w:rPr>
        <w:t>The Seven Who Were Hanged</w:t>
      </w:r>
    </w:p>
    <w:p w14:paraId="4E98450B" w14:textId="77777777" w:rsidR="007670BE" w:rsidRPr="007670BE" w:rsidRDefault="007670BE" w:rsidP="007670BE">
      <w:pPr>
        <w:numPr>
          <w:ilvl w:val="0"/>
          <w:numId w:val="11"/>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The first revolution, the Duma, and the limits of reform.</w:t>
      </w:r>
    </w:p>
    <w:p w14:paraId="429D9B07"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6985A33">
          <v:rect id="_x0000_i1028" alt="" style="width:468pt;height:.05pt;mso-width-percent:0;mso-height-percent:0;mso-width-percent:0;mso-height-percent:0" o:hralign="center" o:hrstd="t" o:hr="t" fillcolor="#a0a0a0" stroked="f"/>
        </w:pict>
      </w:r>
    </w:p>
    <w:p w14:paraId="335121D4"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11 — The Silver Age: Culture and Crisis</w:t>
      </w:r>
    </w:p>
    <w:p w14:paraId="4A8B8407" w14:textId="77777777" w:rsidR="007670BE" w:rsidRPr="007670BE" w:rsidRDefault="007670BE" w:rsidP="007670BE">
      <w:pPr>
        <w:numPr>
          <w:ilvl w:val="0"/>
          <w:numId w:val="12"/>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A. Blok, </w:t>
      </w:r>
      <w:r w:rsidRPr="007670BE">
        <w:rPr>
          <w:rFonts w:ascii="Times New Roman" w:eastAsia="Times New Roman" w:hAnsi="Times New Roman" w:cs="Times New Roman"/>
          <w:i/>
          <w:iCs/>
          <w:color w:val="000000"/>
          <w:kern w:val="0"/>
          <w14:ligatures w14:val="none"/>
        </w:rPr>
        <w:t>The Twelve</w:t>
      </w:r>
    </w:p>
    <w:p w14:paraId="6554DB5B" w14:textId="77777777" w:rsidR="007670BE" w:rsidRPr="007670BE" w:rsidRDefault="007670BE" w:rsidP="007670BE">
      <w:pPr>
        <w:numPr>
          <w:ilvl w:val="0"/>
          <w:numId w:val="12"/>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Modernism, mysticism, and the twilight of empire.</w:t>
      </w:r>
    </w:p>
    <w:p w14:paraId="03701199"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DC92CFF">
          <v:rect id="_x0000_i1027" alt="" style="width:468pt;height:.05pt;mso-width-percent:0;mso-height-percent:0;mso-width-percent:0;mso-height-percent:0" o:hralign="center" o:hrstd="t" o:hr="t" fillcolor="#a0a0a0" stroked="f"/>
        </w:pict>
      </w:r>
    </w:p>
    <w:p w14:paraId="7D5FBE65"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12 — War and Imperial Overstretch, 1914–1916</w:t>
      </w:r>
    </w:p>
    <w:p w14:paraId="5D182226" w14:textId="77777777" w:rsidR="007670BE" w:rsidRPr="007670BE" w:rsidRDefault="007670BE" w:rsidP="007670BE">
      <w:pPr>
        <w:numPr>
          <w:ilvl w:val="0"/>
          <w:numId w:val="13"/>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I. Bunin, </w:t>
      </w:r>
      <w:r w:rsidRPr="007670BE">
        <w:rPr>
          <w:rFonts w:ascii="Times New Roman" w:eastAsia="Times New Roman" w:hAnsi="Times New Roman" w:cs="Times New Roman"/>
          <w:i/>
          <w:iCs/>
          <w:color w:val="000000"/>
          <w:kern w:val="0"/>
          <w14:ligatures w14:val="none"/>
        </w:rPr>
        <w:t>The Village</w:t>
      </w:r>
      <w:r w:rsidRPr="007670BE">
        <w:rPr>
          <w:rFonts w:ascii="Times New Roman" w:eastAsia="Times New Roman" w:hAnsi="Times New Roman" w:cs="Times New Roman"/>
          <w:color w:val="000000"/>
          <w:kern w:val="0"/>
          <w14:ligatures w14:val="none"/>
        </w:rPr>
        <w:t> (selections)</w:t>
      </w:r>
    </w:p>
    <w:p w14:paraId="01E2F695" w14:textId="77777777" w:rsidR="007670BE" w:rsidRPr="007670BE" w:rsidRDefault="007670BE" w:rsidP="007670BE">
      <w:pPr>
        <w:numPr>
          <w:ilvl w:val="0"/>
          <w:numId w:val="13"/>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Total war, rural discontent, imperial fragility.</w:t>
      </w:r>
    </w:p>
    <w:p w14:paraId="7B1A5F62"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9CFFDA3">
          <v:rect id="_x0000_i1026" alt="" style="width:468pt;height:.05pt;mso-width-percent:0;mso-height-percent:0;mso-width-percent:0;mso-height-percent:0" o:hralign="center" o:hrstd="t" o:hr="t" fillcolor="#a0a0a0" stroked="f"/>
        </w:pict>
      </w:r>
    </w:p>
    <w:p w14:paraId="3DCA27B8"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13 — 1917: Collapse and Revolution</w:t>
      </w:r>
    </w:p>
    <w:p w14:paraId="0F6284A7" w14:textId="77777777" w:rsidR="007670BE" w:rsidRPr="007670BE" w:rsidRDefault="007670BE" w:rsidP="007670BE">
      <w:pPr>
        <w:numPr>
          <w:ilvl w:val="0"/>
          <w:numId w:val="14"/>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A. Gorky, </w:t>
      </w:r>
      <w:r w:rsidRPr="007670BE">
        <w:rPr>
          <w:rFonts w:ascii="Times New Roman" w:eastAsia="Times New Roman" w:hAnsi="Times New Roman" w:cs="Times New Roman"/>
          <w:i/>
          <w:iCs/>
          <w:color w:val="000000"/>
          <w:kern w:val="0"/>
          <w14:ligatures w14:val="none"/>
        </w:rPr>
        <w:t>Untimely Thoughts</w:t>
      </w:r>
      <w:r w:rsidRPr="007670BE">
        <w:rPr>
          <w:rFonts w:ascii="Times New Roman" w:eastAsia="Times New Roman" w:hAnsi="Times New Roman" w:cs="Times New Roman"/>
          <w:color w:val="000000"/>
          <w:kern w:val="0"/>
          <w14:ligatures w14:val="none"/>
        </w:rPr>
        <w:t> (selections)</w:t>
      </w:r>
    </w:p>
    <w:p w14:paraId="5187C718" w14:textId="77777777" w:rsidR="007670BE" w:rsidRPr="007670BE" w:rsidRDefault="007670BE" w:rsidP="007670BE">
      <w:pPr>
        <w:numPr>
          <w:ilvl w:val="0"/>
          <w:numId w:val="14"/>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State breakdown, dual power, revolutionary legitimacy.</w:t>
      </w:r>
    </w:p>
    <w:p w14:paraId="60EDC80C" w14:textId="77777777" w:rsidR="007670BE" w:rsidRPr="007670BE" w:rsidRDefault="000E4AA8" w:rsidP="007670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B424F99">
          <v:rect id="_x0000_i1025" alt="" style="width:468pt;height:.05pt;mso-width-percent:0;mso-height-percent:0;mso-width-percent:0;mso-height-percent:0" o:hralign="center" o:hrstd="t" o:hr="t" fillcolor="#a0a0a0" stroked="f"/>
        </w:pict>
      </w:r>
    </w:p>
    <w:p w14:paraId="1D205685" w14:textId="77777777" w:rsidR="007670BE" w:rsidRPr="007670BE" w:rsidRDefault="007670BE" w:rsidP="007670BE">
      <w:p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Week 14 — After the Empire: Historiography and Memory</w:t>
      </w:r>
    </w:p>
    <w:p w14:paraId="7CA3DDD7" w14:textId="77777777" w:rsidR="007670BE" w:rsidRPr="007670BE" w:rsidRDefault="007670BE" w:rsidP="007670BE">
      <w:pPr>
        <w:numPr>
          <w:ilvl w:val="0"/>
          <w:numId w:val="15"/>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Literature:</w:t>
      </w:r>
      <w:r w:rsidRPr="007670BE">
        <w:rPr>
          <w:rFonts w:ascii="Times New Roman" w:eastAsia="Times New Roman" w:hAnsi="Times New Roman" w:cs="Times New Roman"/>
          <w:color w:val="000000"/>
          <w:kern w:val="0"/>
          <w14:ligatures w14:val="none"/>
        </w:rPr>
        <w:t> Trotsky, </w:t>
      </w:r>
      <w:r w:rsidRPr="007670BE">
        <w:rPr>
          <w:rFonts w:ascii="Times New Roman" w:eastAsia="Times New Roman" w:hAnsi="Times New Roman" w:cs="Times New Roman"/>
          <w:i/>
          <w:iCs/>
          <w:color w:val="000000"/>
          <w:kern w:val="0"/>
          <w14:ligatures w14:val="none"/>
        </w:rPr>
        <w:t>History of the Russian Revolution</w:t>
      </w:r>
      <w:r w:rsidRPr="007670BE">
        <w:rPr>
          <w:rFonts w:ascii="Times New Roman" w:eastAsia="Times New Roman" w:hAnsi="Times New Roman" w:cs="Times New Roman"/>
          <w:color w:val="000000"/>
          <w:kern w:val="0"/>
          <w14:ligatures w14:val="none"/>
        </w:rPr>
        <w:t>, Introduction</w:t>
      </w:r>
    </w:p>
    <w:p w14:paraId="358283C8" w14:textId="77777777" w:rsidR="007670BE" w:rsidRPr="007670BE" w:rsidRDefault="007670BE" w:rsidP="007670BE">
      <w:pPr>
        <w:numPr>
          <w:ilvl w:val="0"/>
          <w:numId w:val="15"/>
        </w:numPr>
        <w:spacing w:before="100" w:beforeAutospacing="1" w:after="100" w:afterAutospacing="1"/>
        <w:rPr>
          <w:rFonts w:ascii="Times New Roman" w:eastAsia="Times New Roman" w:hAnsi="Times New Roman" w:cs="Times New Roman"/>
          <w:color w:val="000000"/>
          <w:kern w:val="0"/>
          <w14:ligatures w14:val="none"/>
        </w:rPr>
      </w:pPr>
      <w:r w:rsidRPr="007670BE">
        <w:rPr>
          <w:rFonts w:ascii="Times New Roman" w:eastAsia="Times New Roman" w:hAnsi="Times New Roman" w:cs="Times New Roman"/>
          <w:b/>
          <w:bCs/>
          <w:color w:val="000000"/>
          <w:kern w:val="0"/>
          <w14:ligatures w14:val="none"/>
        </w:rPr>
        <w:t>Themes:</w:t>
      </w:r>
      <w:r w:rsidRPr="007670BE">
        <w:rPr>
          <w:rFonts w:ascii="Times New Roman" w:eastAsia="Times New Roman" w:hAnsi="Times New Roman" w:cs="Times New Roman"/>
          <w:color w:val="000000"/>
          <w:kern w:val="0"/>
          <w14:ligatures w14:val="none"/>
        </w:rPr>
        <w:t> The meaning of imperial collapse and its legacies in Russian and global history.</w:t>
      </w:r>
    </w:p>
    <w:p w14:paraId="7942D5C3" w14:textId="77777777" w:rsidR="004659D9" w:rsidRPr="003B25F6" w:rsidRDefault="004659D9" w:rsidP="003B25F6">
      <w:pPr>
        <w:spacing w:before="100" w:beforeAutospacing="1" w:after="100" w:afterAutospacing="1"/>
        <w:ind w:left="360"/>
        <w:rPr>
          <w:rFonts w:ascii="Times New Roman" w:eastAsia="Times New Roman" w:hAnsi="Times New Roman" w:cs="Times New Roman"/>
          <w:color w:val="000000"/>
          <w:kern w:val="0"/>
          <w14:ligatures w14:val="none"/>
        </w:rPr>
      </w:pPr>
    </w:p>
    <w:sectPr w:rsidR="004659D9" w:rsidRPr="003B25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6259"/>
    <w:multiLevelType w:val="multilevel"/>
    <w:tmpl w:val="7F9E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92AAF"/>
    <w:multiLevelType w:val="multilevel"/>
    <w:tmpl w:val="86D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B4BE6"/>
    <w:multiLevelType w:val="multilevel"/>
    <w:tmpl w:val="F176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D5A94"/>
    <w:multiLevelType w:val="multilevel"/>
    <w:tmpl w:val="65BA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2A42D8"/>
    <w:multiLevelType w:val="multilevel"/>
    <w:tmpl w:val="51BA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B320F2"/>
    <w:multiLevelType w:val="multilevel"/>
    <w:tmpl w:val="408E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E64AD9"/>
    <w:multiLevelType w:val="multilevel"/>
    <w:tmpl w:val="5ED6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C1C22"/>
    <w:multiLevelType w:val="multilevel"/>
    <w:tmpl w:val="E9EC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7934F8"/>
    <w:multiLevelType w:val="multilevel"/>
    <w:tmpl w:val="9C66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387CFD"/>
    <w:multiLevelType w:val="multilevel"/>
    <w:tmpl w:val="A0E6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C1A0F"/>
    <w:multiLevelType w:val="hybridMultilevel"/>
    <w:tmpl w:val="ED3E1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F54474"/>
    <w:multiLevelType w:val="multilevel"/>
    <w:tmpl w:val="ACDA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8424E8"/>
    <w:multiLevelType w:val="multilevel"/>
    <w:tmpl w:val="05AE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CD50A8"/>
    <w:multiLevelType w:val="multilevel"/>
    <w:tmpl w:val="FFD0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350A79"/>
    <w:multiLevelType w:val="multilevel"/>
    <w:tmpl w:val="D73A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1806AB"/>
    <w:multiLevelType w:val="multilevel"/>
    <w:tmpl w:val="0158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B13813"/>
    <w:multiLevelType w:val="hybridMultilevel"/>
    <w:tmpl w:val="D5C44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3B5119"/>
    <w:multiLevelType w:val="multilevel"/>
    <w:tmpl w:val="C928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8298887">
    <w:abstractNumId w:val="2"/>
  </w:num>
  <w:num w:numId="2" w16cid:durableId="190145131">
    <w:abstractNumId w:val="12"/>
  </w:num>
  <w:num w:numId="3" w16cid:durableId="1553804000">
    <w:abstractNumId w:val="14"/>
  </w:num>
  <w:num w:numId="4" w16cid:durableId="520819614">
    <w:abstractNumId w:val="0"/>
  </w:num>
  <w:num w:numId="5" w16cid:durableId="1792507167">
    <w:abstractNumId w:val="3"/>
  </w:num>
  <w:num w:numId="6" w16cid:durableId="1380744752">
    <w:abstractNumId w:val="11"/>
  </w:num>
  <w:num w:numId="7" w16cid:durableId="1596859228">
    <w:abstractNumId w:val="4"/>
  </w:num>
  <w:num w:numId="8" w16cid:durableId="506798200">
    <w:abstractNumId w:val="6"/>
  </w:num>
  <w:num w:numId="9" w16cid:durableId="951012822">
    <w:abstractNumId w:val="7"/>
  </w:num>
  <w:num w:numId="10" w16cid:durableId="791824570">
    <w:abstractNumId w:val="5"/>
  </w:num>
  <w:num w:numId="11" w16cid:durableId="76948147">
    <w:abstractNumId w:val="8"/>
  </w:num>
  <w:num w:numId="12" w16cid:durableId="1740787963">
    <w:abstractNumId w:val="15"/>
  </w:num>
  <w:num w:numId="13" w16cid:durableId="1697579609">
    <w:abstractNumId w:val="17"/>
  </w:num>
  <w:num w:numId="14" w16cid:durableId="1087993289">
    <w:abstractNumId w:val="9"/>
  </w:num>
  <w:num w:numId="15" w16cid:durableId="646055983">
    <w:abstractNumId w:val="13"/>
  </w:num>
  <w:num w:numId="16" w16cid:durableId="505244710">
    <w:abstractNumId w:val="1"/>
  </w:num>
  <w:num w:numId="17" w16cid:durableId="1170558873">
    <w:abstractNumId w:val="10"/>
  </w:num>
  <w:num w:numId="18" w16cid:durableId="19680028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BE"/>
    <w:rsid w:val="00053EED"/>
    <w:rsid w:val="000E4AA8"/>
    <w:rsid w:val="001F34FA"/>
    <w:rsid w:val="002D126B"/>
    <w:rsid w:val="003B25F6"/>
    <w:rsid w:val="004659D9"/>
    <w:rsid w:val="004727C0"/>
    <w:rsid w:val="007670BE"/>
    <w:rsid w:val="00BF406C"/>
    <w:rsid w:val="00E21B76"/>
    <w:rsid w:val="00E64389"/>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2C493"/>
  <w15:chartTrackingRefBased/>
  <w15:docId w15:val="{C9B4CD8E-2570-F249-BDB2-C9758FF3F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0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70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670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70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70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70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70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70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70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qFormat/>
    <w:rsid w:val="00E21B76"/>
    <w:pPr>
      <w:spacing w:before="120" w:after="120" w:line="480" w:lineRule="auto"/>
      <w:contextualSpacing/>
      <w:jc w:val="both"/>
    </w:pPr>
    <w:rPr>
      <w:rFonts w:ascii="Times New Roman" w:eastAsia="Times New Roman" w:hAnsi="Times New Roman" w:cs="Times New Roman"/>
      <w:sz w:val="22"/>
      <w:lang w:val="en-GB" w:eastAsia="en-GB"/>
    </w:rPr>
  </w:style>
  <w:style w:type="character" w:customStyle="1" w:styleId="Heading1Char">
    <w:name w:val="Heading 1 Char"/>
    <w:basedOn w:val="DefaultParagraphFont"/>
    <w:link w:val="Heading1"/>
    <w:uiPriority w:val="9"/>
    <w:rsid w:val="007670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70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670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70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70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70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70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70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70BE"/>
    <w:rPr>
      <w:rFonts w:eastAsiaTheme="majorEastAsia" w:cstheme="majorBidi"/>
      <w:color w:val="272727" w:themeColor="text1" w:themeTint="D8"/>
    </w:rPr>
  </w:style>
  <w:style w:type="paragraph" w:styleId="Title">
    <w:name w:val="Title"/>
    <w:basedOn w:val="Normal"/>
    <w:next w:val="Normal"/>
    <w:link w:val="TitleChar"/>
    <w:uiPriority w:val="10"/>
    <w:qFormat/>
    <w:rsid w:val="007670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70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70B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70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70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70BE"/>
    <w:rPr>
      <w:i/>
      <w:iCs/>
      <w:color w:val="404040" w:themeColor="text1" w:themeTint="BF"/>
    </w:rPr>
  </w:style>
  <w:style w:type="paragraph" w:styleId="ListParagraph">
    <w:name w:val="List Paragraph"/>
    <w:basedOn w:val="Normal"/>
    <w:uiPriority w:val="34"/>
    <w:qFormat/>
    <w:rsid w:val="007670BE"/>
    <w:pPr>
      <w:ind w:left="720"/>
      <w:contextualSpacing/>
    </w:pPr>
  </w:style>
  <w:style w:type="character" w:styleId="IntenseEmphasis">
    <w:name w:val="Intense Emphasis"/>
    <w:basedOn w:val="DefaultParagraphFont"/>
    <w:uiPriority w:val="21"/>
    <w:qFormat/>
    <w:rsid w:val="007670BE"/>
    <w:rPr>
      <w:i/>
      <w:iCs/>
      <w:color w:val="0F4761" w:themeColor="accent1" w:themeShade="BF"/>
    </w:rPr>
  </w:style>
  <w:style w:type="paragraph" w:styleId="IntenseQuote">
    <w:name w:val="Intense Quote"/>
    <w:basedOn w:val="Normal"/>
    <w:next w:val="Normal"/>
    <w:link w:val="IntenseQuoteChar"/>
    <w:uiPriority w:val="30"/>
    <w:qFormat/>
    <w:rsid w:val="007670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70BE"/>
    <w:rPr>
      <w:i/>
      <w:iCs/>
      <w:color w:val="0F4761" w:themeColor="accent1" w:themeShade="BF"/>
    </w:rPr>
  </w:style>
  <w:style w:type="character" w:styleId="IntenseReference">
    <w:name w:val="Intense Reference"/>
    <w:basedOn w:val="DefaultParagraphFont"/>
    <w:uiPriority w:val="32"/>
    <w:qFormat/>
    <w:rsid w:val="007670BE"/>
    <w:rPr>
      <w:b/>
      <w:bCs/>
      <w:smallCaps/>
      <w:color w:val="0F4761" w:themeColor="accent1" w:themeShade="BF"/>
      <w:spacing w:val="5"/>
    </w:rPr>
  </w:style>
  <w:style w:type="paragraph" w:styleId="NormalWeb">
    <w:name w:val="Normal (Web)"/>
    <w:basedOn w:val="Normal"/>
    <w:uiPriority w:val="99"/>
    <w:semiHidden/>
    <w:unhideWhenUsed/>
    <w:rsid w:val="007670BE"/>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670BE"/>
    <w:rPr>
      <w:b/>
      <w:bCs/>
    </w:rPr>
  </w:style>
  <w:style w:type="character" w:customStyle="1" w:styleId="apple-converted-space">
    <w:name w:val="apple-converted-space"/>
    <w:basedOn w:val="DefaultParagraphFont"/>
    <w:rsid w:val="007670BE"/>
  </w:style>
  <w:style w:type="character" w:styleId="Emphasis">
    <w:name w:val="Emphasis"/>
    <w:basedOn w:val="DefaultParagraphFont"/>
    <w:uiPriority w:val="20"/>
    <w:qFormat/>
    <w:rsid w:val="007670BE"/>
    <w:rPr>
      <w:i/>
      <w:iCs/>
    </w:rPr>
  </w:style>
  <w:style w:type="paragraph" w:styleId="NoSpacing">
    <w:name w:val="No Spacing"/>
    <w:uiPriority w:val="1"/>
    <w:qFormat/>
    <w:rsid w:val="00767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1505</Words>
  <Characters>8794</Characters>
  <Application>Microsoft Office Word</Application>
  <DocSecurity>0</DocSecurity>
  <Lines>133</Lines>
  <Paragraphs>15</Paragraphs>
  <ScaleCrop>false</ScaleCrop>
  <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Isci</dc:creator>
  <cp:keywords/>
  <dc:description/>
  <cp:lastModifiedBy>Onur Isci</cp:lastModifiedBy>
  <cp:revision>3</cp:revision>
  <dcterms:created xsi:type="dcterms:W3CDTF">2025-09-29T12:36:00Z</dcterms:created>
  <dcterms:modified xsi:type="dcterms:W3CDTF">2025-09-29T13:33:00Z</dcterms:modified>
</cp:coreProperties>
</file>