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81787" w14:textId="14362B77" w:rsidR="003457C0" w:rsidRPr="00EA4DFA" w:rsidRDefault="000D08A1" w:rsidP="007169C1">
      <w:pPr>
        <w:jc w:val="both"/>
        <w:rPr>
          <w:b/>
        </w:rPr>
      </w:pPr>
      <w:r w:rsidRPr="00EA4DFA">
        <w:rPr>
          <w:b/>
        </w:rPr>
        <w:t xml:space="preserve">ATA 613 </w:t>
      </w:r>
    </w:p>
    <w:p w14:paraId="2B268F23" w14:textId="2EBA325C" w:rsidR="003457C0" w:rsidRPr="00EA4DFA" w:rsidRDefault="000D08A1" w:rsidP="007169C1">
      <w:pPr>
        <w:jc w:val="both"/>
        <w:rPr>
          <w:b/>
        </w:rPr>
      </w:pPr>
      <w:r w:rsidRPr="00EA4DFA">
        <w:rPr>
          <w:b/>
        </w:rPr>
        <w:t>Late Ottoman Revolutionaries</w:t>
      </w:r>
    </w:p>
    <w:p w14:paraId="701C0247" w14:textId="7D905DEB" w:rsidR="003457C0" w:rsidRPr="00EA4DFA" w:rsidRDefault="003457C0" w:rsidP="007169C1">
      <w:pPr>
        <w:jc w:val="both"/>
        <w:rPr>
          <w:b/>
        </w:rPr>
      </w:pPr>
    </w:p>
    <w:p w14:paraId="266FFCFB" w14:textId="11113EB7" w:rsidR="003457C0" w:rsidRPr="00EA4DFA" w:rsidRDefault="003457C0" w:rsidP="007169C1">
      <w:pPr>
        <w:jc w:val="both"/>
        <w:rPr>
          <w:b/>
        </w:rPr>
      </w:pPr>
      <w:r w:rsidRPr="00EA4DFA">
        <w:rPr>
          <w:b/>
        </w:rPr>
        <w:t>Spring 2021</w:t>
      </w:r>
    </w:p>
    <w:p w14:paraId="5D9FB564" w14:textId="37E9E0B4" w:rsidR="003457C0" w:rsidRPr="00EA4DFA" w:rsidRDefault="003457C0" w:rsidP="007169C1">
      <w:pPr>
        <w:jc w:val="both"/>
      </w:pPr>
      <w:r w:rsidRPr="00EA4DFA">
        <w:t>Tuesdays, 14.00-17.00</w:t>
      </w:r>
    </w:p>
    <w:p w14:paraId="282CCEA2" w14:textId="77777777" w:rsidR="003457C0" w:rsidRPr="00EA4DFA" w:rsidRDefault="003457C0" w:rsidP="007169C1">
      <w:pPr>
        <w:jc w:val="both"/>
        <w:rPr>
          <w:b/>
        </w:rPr>
      </w:pPr>
    </w:p>
    <w:p w14:paraId="11937A81" w14:textId="6F327051" w:rsidR="003457C0" w:rsidRPr="00EA4DFA" w:rsidRDefault="003457C0" w:rsidP="007169C1">
      <w:pPr>
        <w:jc w:val="both"/>
      </w:pPr>
      <w:r w:rsidRPr="00EA4DFA">
        <w:t>Dr. Ramazan Hakkı Öztan</w:t>
      </w:r>
    </w:p>
    <w:p w14:paraId="7D0BBA86" w14:textId="070011B5" w:rsidR="003457C0" w:rsidRPr="00EA4DFA" w:rsidRDefault="003457C0" w:rsidP="007169C1">
      <w:pPr>
        <w:jc w:val="both"/>
      </w:pPr>
      <w:r w:rsidRPr="00EA4DFA">
        <w:t>ramazan.oztan@boun.edu.tr</w:t>
      </w:r>
    </w:p>
    <w:p w14:paraId="6A7910E5" w14:textId="77777777" w:rsidR="003457C0" w:rsidRPr="00EA4DFA" w:rsidRDefault="003457C0" w:rsidP="007169C1">
      <w:pPr>
        <w:jc w:val="both"/>
      </w:pPr>
    </w:p>
    <w:p w14:paraId="484A9E8F" w14:textId="5E96324B" w:rsidR="0024145B" w:rsidRPr="00EA4DFA" w:rsidRDefault="00FF7986" w:rsidP="007169C1">
      <w:pPr>
        <w:jc w:val="both"/>
      </w:pPr>
      <w:r w:rsidRPr="00EA4DFA">
        <w:t xml:space="preserve">By </w:t>
      </w:r>
      <w:r w:rsidR="006F508B" w:rsidRPr="00EA4DFA">
        <w:t xml:space="preserve">the late nineteenth century, the Ottoman Empire </w:t>
      </w:r>
      <w:r w:rsidRPr="00EA4DFA">
        <w:t>had become home to a number of</w:t>
      </w:r>
      <w:r w:rsidR="006F508B" w:rsidRPr="00EA4DFA">
        <w:t xml:space="preserve"> revolutionary organizations </w:t>
      </w:r>
      <w:r w:rsidRPr="00EA4DFA">
        <w:t>that would play crucial roles in the transformation of the imperial polity</w:t>
      </w:r>
      <w:r w:rsidR="006F508B" w:rsidRPr="00EA4DFA">
        <w:t xml:space="preserve">. </w:t>
      </w:r>
      <w:r w:rsidRPr="00EA4DFA">
        <w:t>Late Ottoman revolutionaries were young, educated, and politically ambitious, but were often denied access to formal channels of politics, whether in the imperial metropole or in emerging national capitals. They organized themselves</w:t>
      </w:r>
      <w:r w:rsidR="006F508B" w:rsidRPr="00EA4DFA">
        <w:t xml:space="preserve"> </w:t>
      </w:r>
      <w:r w:rsidRPr="00EA4DFA">
        <w:t>into</w:t>
      </w:r>
      <w:r w:rsidR="006F508B" w:rsidRPr="00EA4DFA">
        <w:t xml:space="preserve"> secret societies </w:t>
      </w:r>
      <w:r w:rsidR="005F62B0">
        <w:t xml:space="preserve">and </w:t>
      </w:r>
      <w:r w:rsidR="006F508B" w:rsidRPr="00EA4DFA">
        <w:t>operat</w:t>
      </w:r>
      <w:r w:rsidR="005F62B0">
        <w:t>ed</w:t>
      </w:r>
      <w:r w:rsidR="006F508B" w:rsidRPr="00EA4DFA">
        <w:t xml:space="preserve"> underground</w:t>
      </w:r>
      <w:r w:rsidRPr="00EA4DFA">
        <w:t xml:space="preserve">, </w:t>
      </w:r>
      <w:r w:rsidR="005F62B0">
        <w:t>tapping into</w:t>
      </w:r>
      <w:r w:rsidR="00004ADF">
        <w:t xml:space="preserve"> a broad range of ideologies from </w:t>
      </w:r>
      <w:r w:rsidRPr="00EA4DFA">
        <w:t>nationalism</w:t>
      </w:r>
      <w:r w:rsidR="00004ADF">
        <w:t xml:space="preserve"> to</w:t>
      </w:r>
      <w:r w:rsidRPr="00EA4DFA">
        <w:t xml:space="preserve"> socialism and anarchism</w:t>
      </w:r>
      <w:r w:rsidR="00004ADF">
        <w:t>. T</w:t>
      </w:r>
      <w:r w:rsidRPr="00EA4DFA">
        <w:t>heir willingness to employ tactics of violence</w:t>
      </w:r>
      <w:r w:rsidR="00004ADF">
        <w:t>, however,</w:t>
      </w:r>
      <w:r w:rsidRPr="00EA4DFA">
        <w:t xml:space="preserve"> was what united this heterogenous mix of individuals</w:t>
      </w:r>
      <w:r w:rsidR="00004ADF">
        <w:t xml:space="preserve"> who saw</w:t>
      </w:r>
      <w:r w:rsidRPr="00EA4DFA">
        <w:t xml:space="preserve"> </w:t>
      </w:r>
      <w:r w:rsidR="00004ADF">
        <w:t>violence</w:t>
      </w:r>
      <w:r w:rsidRPr="00EA4DFA">
        <w:t xml:space="preserve"> </w:t>
      </w:r>
      <w:r w:rsidR="00004ADF">
        <w:t>as a way of</w:t>
      </w:r>
      <w:r w:rsidR="009577DA">
        <w:t xml:space="preserve"> facilitat</w:t>
      </w:r>
      <w:r w:rsidR="00004ADF">
        <w:t>ing</w:t>
      </w:r>
      <w:r w:rsidRPr="00EA4DFA">
        <w:t xml:space="preserve"> </w:t>
      </w:r>
      <w:r w:rsidR="00004ADF">
        <w:t xml:space="preserve">historical </w:t>
      </w:r>
      <w:r w:rsidRPr="00EA4DFA">
        <w:t xml:space="preserve">ruptures </w:t>
      </w:r>
      <w:r w:rsidR="005F62B0">
        <w:t>in the</w:t>
      </w:r>
      <w:r w:rsidR="009577DA">
        <w:t xml:space="preserve"> service </w:t>
      </w:r>
      <w:r w:rsidR="005F62B0">
        <w:t xml:space="preserve">of </w:t>
      </w:r>
      <w:r w:rsidRPr="00EA4DFA">
        <w:t xml:space="preserve">revolutionary goals. </w:t>
      </w:r>
      <w:r w:rsidR="00F646E7">
        <w:t>Over the course of time,</w:t>
      </w:r>
      <w:r w:rsidRPr="00EA4DFA">
        <w:t xml:space="preserve"> </w:t>
      </w:r>
      <w:r w:rsidR="00F646E7" w:rsidRPr="00EA4DFA">
        <w:t xml:space="preserve">particularly after the Young Turk Revolution of 1908, </w:t>
      </w:r>
      <w:r w:rsidR="00F646E7">
        <w:t>t</w:t>
      </w:r>
      <w:r w:rsidRPr="00EA4DFA">
        <w:t>heir</w:t>
      </w:r>
      <w:r w:rsidR="006F508B" w:rsidRPr="00EA4DFA">
        <w:t xml:space="preserve"> organizations gradually </w:t>
      </w:r>
      <w:r w:rsidRPr="00EA4DFA">
        <w:t>turn</w:t>
      </w:r>
      <w:r w:rsidR="00F646E7">
        <w:t>ed</w:t>
      </w:r>
      <w:r w:rsidRPr="00EA4DFA">
        <w:t xml:space="preserve"> into</w:t>
      </w:r>
      <w:r w:rsidR="006F508B" w:rsidRPr="00EA4DFA">
        <w:t xml:space="preserve"> political parties</w:t>
      </w:r>
      <w:r w:rsidR="00F646E7">
        <w:t xml:space="preserve"> </w:t>
      </w:r>
      <w:r w:rsidR="005F62B0">
        <w:t>that ultimately oversaw</w:t>
      </w:r>
      <w:r w:rsidRPr="00EA4DFA">
        <w:t xml:space="preserve"> the</w:t>
      </w:r>
      <w:r w:rsidR="006F508B" w:rsidRPr="00EA4DFA">
        <w:t xml:space="preserve"> </w:t>
      </w:r>
      <w:r w:rsidR="00004ADF">
        <w:t>violent</w:t>
      </w:r>
      <w:r w:rsidR="00780E10" w:rsidRPr="00EA4DFA">
        <w:t xml:space="preserve"> </w:t>
      </w:r>
      <w:r w:rsidRPr="00EA4DFA">
        <w:t>transition from</w:t>
      </w:r>
      <w:r w:rsidR="006F508B" w:rsidRPr="00EA4DFA">
        <w:t xml:space="preserve"> </w:t>
      </w:r>
      <w:r w:rsidRPr="00EA4DFA">
        <w:t>empire to nation-state</w:t>
      </w:r>
      <w:r w:rsidR="006F508B" w:rsidRPr="00EA4DFA">
        <w:t>. This course revisits this contentious historical period spanning from the mid-18</w:t>
      </w:r>
      <w:r w:rsidRPr="00EA4DFA">
        <w:t>5</w:t>
      </w:r>
      <w:r w:rsidR="006F508B" w:rsidRPr="00EA4DFA">
        <w:t>0s well into late 1920s</w:t>
      </w:r>
      <w:r w:rsidR="00671FDE" w:rsidRPr="00EA4DFA">
        <w:t>, sampling the existing historiographical literature along the way.</w:t>
      </w:r>
      <w:r w:rsidR="003457C0" w:rsidRPr="00EA4DFA">
        <w:t xml:space="preserve"> </w:t>
      </w:r>
    </w:p>
    <w:p w14:paraId="494DC594" w14:textId="77777777" w:rsidR="0024145B" w:rsidRPr="00EA4DFA" w:rsidRDefault="0024145B" w:rsidP="007169C1">
      <w:pPr>
        <w:jc w:val="both"/>
      </w:pPr>
    </w:p>
    <w:p w14:paraId="5AB3B9C3" w14:textId="66A6ECFA" w:rsidR="00780E10" w:rsidRPr="00EA4DFA" w:rsidRDefault="005F62B0" w:rsidP="007169C1">
      <w:pPr>
        <w:jc w:val="both"/>
      </w:pPr>
      <w:r>
        <w:t>In traditional historiographies, l</w:t>
      </w:r>
      <w:r w:rsidR="00780E10" w:rsidRPr="00EA4DFA">
        <w:t xml:space="preserve">ate Ottoman revolutionaries are either demonized due to their violent legacies or romanticized as a result of later ideological re-appropriations. In this course, we hope to approach them in their complexity and develop a working set of tools to historicize them as agents of change in their own right. </w:t>
      </w:r>
      <w:r w:rsidR="008036B5" w:rsidRPr="00EA4DFA">
        <w:t>In so doing</w:t>
      </w:r>
      <w:r w:rsidR="0024145B" w:rsidRPr="00EA4DFA">
        <w:t xml:space="preserve">, this </w:t>
      </w:r>
      <w:r w:rsidR="00780E10" w:rsidRPr="00EA4DFA">
        <w:t xml:space="preserve">graduate </w:t>
      </w:r>
      <w:r w:rsidR="0024145B" w:rsidRPr="00EA4DFA">
        <w:t xml:space="preserve">seminar </w:t>
      </w:r>
      <w:r w:rsidR="00780E10" w:rsidRPr="00EA4DFA">
        <w:t xml:space="preserve">will first of all help students </w:t>
      </w:r>
      <w:r w:rsidR="008036B5" w:rsidRPr="00EA4DFA">
        <w:t>attain a more complex</w:t>
      </w:r>
      <w:r w:rsidR="00780E10" w:rsidRPr="00EA4DFA">
        <w:t xml:space="preserve"> empirical understanding of revolutionar</w:t>
      </w:r>
      <w:r w:rsidR="008036B5" w:rsidRPr="00EA4DFA">
        <w:t>y politics</w:t>
      </w:r>
      <w:r w:rsidR="00780E10" w:rsidRPr="00EA4DFA">
        <w:t xml:space="preserve"> in the late Ottoman history. </w:t>
      </w:r>
      <w:r w:rsidR="008036B5" w:rsidRPr="00EA4DFA">
        <w:t>Some basic questions will drive this mission: w</w:t>
      </w:r>
      <w:r w:rsidR="00780E10" w:rsidRPr="00EA4DFA">
        <w:t xml:space="preserve">hat </w:t>
      </w:r>
      <w:r w:rsidR="008036B5" w:rsidRPr="00EA4DFA">
        <w:t xml:space="preserve">really </w:t>
      </w:r>
      <w:r w:rsidR="00780E10" w:rsidRPr="00EA4DFA">
        <w:t>set</w:t>
      </w:r>
      <w:r w:rsidR="008036B5" w:rsidRPr="00EA4DFA">
        <w:t>s</w:t>
      </w:r>
      <w:r w:rsidR="00780E10" w:rsidRPr="00EA4DFA">
        <w:t xml:space="preserve"> apart the late nineteenth-century revolutionaries from their earlier counterparts</w:t>
      </w:r>
      <w:r w:rsidR="008036B5" w:rsidRPr="00EA4DFA">
        <w:t>?</w:t>
      </w:r>
      <w:r w:rsidR="00780E10" w:rsidRPr="00EA4DFA">
        <w:t xml:space="preserve"> </w:t>
      </w:r>
      <w:r w:rsidR="008036B5" w:rsidRPr="00EA4DFA">
        <w:t>W</w:t>
      </w:r>
      <w:r w:rsidR="00780E10" w:rsidRPr="00EA4DFA">
        <w:t xml:space="preserve">hy </w:t>
      </w:r>
      <w:r w:rsidR="008036B5" w:rsidRPr="00EA4DFA">
        <w:t xml:space="preserve">did </w:t>
      </w:r>
      <w:r w:rsidR="00780E10" w:rsidRPr="00EA4DFA">
        <w:t xml:space="preserve">revolutionary organizations suddenly </w:t>
      </w:r>
      <w:r w:rsidR="008036B5" w:rsidRPr="00EA4DFA">
        <w:t xml:space="preserve">begin to </w:t>
      </w:r>
      <w:r w:rsidR="00780E10" w:rsidRPr="00EA4DFA">
        <w:t>mushroom in the Ottoman Empire by the mid-1880s</w:t>
      </w:r>
      <w:r w:rsidR="008036B5" w:rsidRPr="00EA4DFA">
        <w:t>?</w:t>
      </w:r>
      <w:r w:rsidR="00780E10" w:rsidRPr="00EA4DFA">
        <w:t xml:space="preserve"> </w:t>
      </w:r>
      <w:r w:rsidR="008036B5" w:rsidRPr="00EA4DFA">
        <w:t>W</w:t>
      </w:r>
      <w:r w:rsidR="00780E10" w:rsidRPr="00EA4DFA">
        <w:t xml:space="preserve">hat explains the specific context </w:t>
      </w:r>
      <w:r w:rsidR="008036B5" w:rsidRPr="00EA4DFA">
        <w:t xml:space="preserve">and timing </w:t>
      </w:r>
      <w:r w:rsidR="00780E10" w:rsidRPr="00EA4DFA">
        <w:t>of their violent acts</w:t>
      </w:r>
      <w:r w:rsidR="008036B5" w:rsidRPr="00EA4DFA">
        <w:t>?</w:t>
      </w:r>
      <w:r w:rsidR="00780E10" w:rsidRPr="00EA4DFA">
        <w:t xml:space="preserve"> </w:t>
      </w:r>
      <w:r w:rsidR="003C065F" w:rsidRPr="00EA4DFA">
        <w:t>S</w:t>
      </w:r>
      <w:r w:rsidR="008036B5" w:rsidRPr="00EA4DFA">
        <w:t>uch context-driven questions will also enable us to develop a more critical approach</w:t>
      </w:r>
      <w:r w:rsidR="00780E10" w:rsidRPr="00EA4DFA">
        <w:t xml:space="preserve"> </w:t>
      </w:r>
      <w:r w:rsidR="008036B5" w:rsidRPr="00EA4DFA">
        <w:t xml:space="preserve">to studying </w:t>
      </w:r>
      <w:r w:rsidR="003457C0" w:rsidRPr="00EA4DFA">
        <w:t xml:space="preserve">the end of the </w:t>
      </w:r>
      <w:r w:rsidR="008036B5" w:rsidRPr="00EA4DFA">
        <w:t>Ottoman E</w:t>
      </w:r>
      <w:r w:rsidR="003457C0" w:rsidRPr="00EA4DFA">
        <w:t>mpire</w:t>
      </w:r>
      <w:r w:rsidR="00780E10" w:rsidRPr="00EA4DFA">
        <w:t>,</w:t>
      </w:r>
      <w:r w:rsidR="003457C0" w:rsidRPr="00EA4DFA">
        <w:t xml:space="preserve"> </w:t>
      </w:r>
      <w:r w:rsidR="008036B5" w:rsidRPr="00EA4DFA">
        <w:t>forcing us to come</w:t>
      </w:r>
      <w:r w:rsidR="003457C0" w:rsidRPr="00EA4DFA">
        <w:t xml:space="preserve"> to terms with </w:t>
      </w:r>
      <w:r w:rsidR="00780E10" w:rsidRPr="00EA4DFA">
        <w:t>the powerful</w:t>
      </w:r>
      <w:r w:rsidR="003457C0" w:rsidRPr="00EA4DFA">
        <w:t xml:space="preserve"> narrative</w:t>
      </w:r>
      <w:r w:rsidR="00780E10" w:rsidRPr="00EA4DFA">
        <w:t>s that continue to shape</w:t>
      </w:r>
      <w:r w:rsidR="003457C0" w:rsidRPr="00EA4DFA">
        <w:t xml:space="preserve"> </w:t>
      </w:r>
      <w:r w:rsidR="00780E10" w:rsidRPr="00EA4DFA">
        <w:t xml:space="preserve">the </w:t>
      </w:r>
      <w:r w:rsidR="003457C0" w:rsidRPr="00EA4DFA">
        <w:t>history writing</w:t>
      </w:r>
      <w:r w:rsidR="008036B5" w:rsidRPr="00EA4DFA">
        <w:t xml:space="preserve"> on the period</w:t>
      </w:r>
      <w:r w:rsidR="002E2E00" w:rsidRPr="00EA4DFA">
        <w:t xml:space="preserve">. </w:t>
      </w:r>
    </w:p>
    <w:p w14:paraId="18EAD7F9" w14:textId="77777777" w:rsidR="00BA1A3D" w:rsidRPr="00EA4DFA" w:rsidRDefault="00BA1A3D" w:rsidP="007169C1">
      <w:pPr>
        <w:jc w:val="both"/>
      </w:pPr>
    </w:p>
    <w:p w14:paraId="117D2E93" w14:textId="08C06699" w:rsidR="00981912" w:rsidRPr="00EA4DFA" w:rsidRDefault="007D0054" w:rsidP="007169C1">
      <w:pPr>
        <w:jc w:val="both"/>
        <w:rPr>
          <w:b/>
        </w:rPr>
      </w:pPr>
      <w:r w:rsidRPr="00EA4DFA">
        <w:rPr>
          <w:b/>
        </w:rPr>
        <w:t>Assignments &amp; Evaluation</w:t>
      </w:r>
    </w:p>
    <w:p w14:paraId="19535AA2" w14:textId="7F6B90D1" w:rsidR="00981912" w:rsidRPr="00EA4DFA" w:rsidRDefault="00981912" w:rsidP="007169C1">
      <w:pPr>
        <w:jc w:val="both"/>
      </w:pPr>
    </w:p>
    <w:p w14:paraId="090A57BA" w14:textId="5AD996AA" w:rsidR="002E2E00" w:rsidRPr="00EA4DFA" w:rsidRDefault="007D0054" w:rsidP="007169C1">
      <w:pPr>
        <w:jc w:val="both"/>
      </w:pPr>
      <w:r w:rsidRPr="00EA4DFA">
        <w:rPr>
          <w:b/>
        </w:rPr>
        <w:t>1)</w:t>
      </w:r>
      <w:r w:rsidRPr="00EA4DFA">
        <w:t xml:space="preserve"> </w:t>
      </w:r>
      <w:r w:rsidR="00BC19B2" w:rsidRPr="00EA4DFA">
        <w:t>Participation</w:t>
      </w:r>
      <w:r w:rsidRPr="00EA4DFA">
        <w:t xml:space="preserve"> &amp; Presentation</w:t>
      </w:r>
      <w:r w:rsidR="000627B1" w:rsidRPr="00EA4DFA">
        <w:t>s</w:t>
      </w:r>
      <w:r w:rsidR="00BC19B2" w:rsidRPr="00EA4DFA">
        <w:t xml:space="preserve"> (20 percent)</w:t>
      </w:r>
    </w:p>
    <w:p w14:paraId="70D6F7DB" w14:textId="0F2C9BC3" w:rsidR="00BC19B2" w:rsidRPr="00EA4DFA" w:rsidRDefault="007D0054" w:rsidP="007169C1">
      <w:pPr>
        <w:jc w:val="both"/>
      </w:pPr>
      <w:r w:rsidRPr="00EA4DFA">
        <w:t>Students are expected to participate in each session, come to the class having done all the required readings and be active during the discussions. Students will also be asked to present, at least once, if not twice, to present selected piece</w:t>
      </w:r>
      <w:r w:rsidR="000627B1" w:rsidRPr="00EA4DFA">
        <w:t>s</w:t>
      </w:r>
      <w:r w:rsidRPr="00EA4DFA">
        <w:t xml:space="preserve"> from optional readings. </w:t>
      </w:r>
    </w:p>
    <w:p w14:paraId="5D374F2D" w14:textId="77777777" w:rsidR="00BC19B2" w:rsidRPr="00EA4DFA" w:rsidRDefault="00BC19B2" w:rsidP="007169C1">
      <w:pPr>
        <w:jc w:val="both"/>
        <w:rPr>
          <w:b/>
        </w:rPr>
      </w:pPr>
    </w:p>
    <w:p w14:paraId="556F4726" w14:textId="77777777" w:rsidR="002E2E00" w:rsidRPr="00EA4DFA" w:rsidRDefault="007D0054" w:rsidP="007169C1">
      <w:pPr>
        <w:jc w:val="both"/>
      </w:pPr>
      <w:r w:rsidRPr="00EA4DFA">
        <w:rPr>
          <w:b/>
        </w:rPr>
        <w:t>2)</w:t>
      </w:r>
      <w:r w:rsidRPr="00EA4DFA">
        <w:t xml:space="preserve"> </w:t>
      </w:r>
      <w:r w:rsidR="00981912" w:rsidRPr="00EA4DFA">
        <w:t>Response Papers</w:t>
      </w:r>
      <w:r w:rsidR="00BC19B2" w:rsidRPr="00EA4DFA">
        <w:t xml:space="preserve"> (30 percent)</w:t>
      </w:r>
    </w:p>
    <w:p w14:paraId="2A3E1715" w14:textId="37E54ECD" w:rsidR="00981912" w:rsidRPr="00EA4DFA" w:rsidRDefault="00403496" w:rsidP="007169C1">
      <w:pPr>
        <w:jc w:val="both"/>
      </w:pPr>
      <w:r w:rsidRPr="00EA4DFA">
        <w:t xml:space="preserve">Students will be required to write a total of </w:t>
      </w:r>
      <w:r w:rsidRPr="006F7BA9">
        <w:rPr>
          <w:u w:val="single"/>
        </w:rPr>
        <w:t>three</w:t>
      </w:r>
      <w:r w:rsidRPr="00EA4DFA">
        <w:t xml:space="preserve"> response papers </w:t>
      </w:r>
      <w:r w:rsidR="00CC4089">
        <w:t>(</w:t>
      </w:r>
      <w:r w:rsidR="0064415D" w:rsidRPr="00EA4DFA">
        <w:t>2</w:t>
      </w:r>
      <w:r w:rsidRPr="00EA4DFA">
        <w:t xml:space="preserve"> pages long, double-spaced)</w:t>
      </w:r>
      <w:r w:rsidR="002E2E00" w:rsidRPr="00EA4DFA">
        <w:t xml:space="preserve">, discussing the </w:t>
      </w:r>
      <w:r w:rsidR="002E2E00" w:rsidRPr="00A822EB">
        <w:rPr>
          <w:u w:val="single"/>
        </w:rPr>
        <w:t>required</w:t>
      </w:r>
      <w:r w:rsidR="002E2E00" w:rsidRPr="00EA4DFA">
        <w:t xml:space="preserve"> readings for the weeks of their own choosing</w:t>
      </w:r>
      <w:r w:rsidRPr="00EA4DFA">
        <w:t xml:space="preserve">. </w:t>
      </w:r>
      <w:r w:rsidR="002E2E00" w:rsidRPr="00EA4DFA">
        <w:t xml:space="preserve">Please submit your response papers on Mondays, a day before the class. </w:t>
      </w:r>
    </w:p>
    <w:p w14:paraId="1B49FEF4" w14:textId="00C69DAD" w:rsidR="00981912" w:rsidRPr="00EA4DFA" w:rsidRDefault="00981912" w:rsidP="007169C1">
      <w:pPr>
        <w:jc w:val="both"/>
      </w:pPr>
    </w:p>
    <w:p w14:paraId="5E9BB0D1" w14:textId="19C731B5" w:rsidR="00981912" w:rsidRPr="00EA4DFA" w:rsidRDefault="007D0054" w:rsidP="007169C1">
      <w:pPr>
        <w:jc w:val="both"/>
      </w:pPr>
      <w:r w:rsidRPr="00EA4DFA">
        <w:rPr>
          <w:b/>
        </w:rPr>
        <w:t>3)</w:t>
      </w:r>
      <w:r w:rsidRPr="00EA4DFA">
        <w:t xml:space="preserve"> </w:t>
      </w:r>
      <w:r w:rsidR="00D53CC5" w:rsidRPr="00EA4DFA">
        <w:t>Final</w:t>
      </w:r>
      <w:r w:rsidR="00432814" w:rsidRPr="00EA4DFA">
        <w:t xml:space="preserve"> Paper </w:t>
      </w:r>
      <w:r w:rsidR="00BC19B2" w:rsidRPr="00EA4DFA">
        <w:t>(50 percent)</w:t>
      </w:r>
    </w:p>
    <w:p w14:paraId="3B3304A5" w14:textId="331C81F7" w:rsidR="00970591" w:rsidRPr="00EA4DFA" w:rsidRDefault="00D53CC5" w:rsidP="007169C1">
      <w:pPr>
        <w:jc w:val="both"/>
      </w:pPr>
      <w:r w:rsidRPr="00EA4DFA">
        <w:lastRenderedPageBreak/>
        <w:t>Students will write a final paper</w:t>
      </w:r>
      <w:r w:rsidR="00243582" w:rsidRPr="00EA4DFA">
        <w:t xml:space="preserve"> </w:t>
      </w:r>
      <w:r w:rsidRPr="00EA4DFA">
        <w:t>due July 3</w:t>
      </w:r>
      <w:r w:rsidR="00243582" w:rsidRPr="00EA4DFA">
        <w:t xml:space="preserve"> (10-15 pages, double-spaced for MA students; 15-20 pages for PhD students)</w:t>
      </w:r>
      <w:r w:rsidRPr="00EA4DFA">
        <w:t xml:space="preserve">. </w:t>
      </w:r>
      <w:r w:rsidR="006834D1" w:rsidRPr="00EA4DFA">
        <w:t>You have to discuss the topic of your final paper with me beforehand</w:t>
      </w:r>
      <w:r w:rsidR="00206118" w:rsidRPr="00EA4DFA">
        <w:t>, preferably before the start of the spring break.</w:t>
      </w:r>
    </w:p>
    <w:p w14:paraId="04648A87" w14:textId="3DE95372" w:rsidR="006A7EC5" w:rsidRPr="00EA4DFA" w:rsidRDefault="006A7EC5" w:rsidP="007169C1">
      <w:pPr>
        <w:jc w:val="both"/>
        <w:rPr>
          <w:b/>
          <w:sz w:val="32"/>
          <w:szCs w:val="32"/>
        </w:rPr>
      </w:pPr>
      <w:r w:rsidRPr="00EA4DFA">
        <w:rPr>
          <w:b/>
          <w:sz w:val="32"/>
          <w:szCs w:val="32"/>
        </w:rPr>
        <w:t>Course Schedule</w:t>
      </w:r>
    </w:p>
    <w:p w14:paraId="2A8C8D02" w14:textId="77777777" w:rsidR="006A7EC5" w:rsidRPr="00EA4DFA" w:rsidRDefault="006A7EC5" w:rsidP="007169C1">
      <w:pPr>
        <w:jc w:val="both"/>
        <w:rPr>
          <w:b/>
        </w:rPr>
      </w:pPr>
    </w:p>
    <w:p w14:paraId="55DA21E7" w14:textId="046FD462" w:rsidR="003C065F" w:rsidRPr="00EA4DFA" w:rsidRDefault="00DC49F4" w:rsidP="007169C1">
      <w:pPr>
        <w:jc w:val="both"/>
        <w:rPr>
          <w:b/>
        </w:rPr>
      </w:pPr>
      <w:r w:rsidRPr="00EA4DFA">
        <w:rPr>
          <w:b/>
        </w:rPr>
        <w:t>Week</w:t>
      </w:r>
      <w:r w:rsidR="00AA5580" w:rsidRPr="00EA4DFA">
        <w:rPr>
          <w:b/>
        </w:rPr>
        <w:t xml:space="preserve"> </w:t>
      </w:r>
      <w:r w:rsidR="008D6E23" w:rsidRPr="00EA4DFA">
        <w:rPr>
          <w:b/>
        </w:rPr>
        <w:t xml:space="preserve">1, </w:t>
      </w:r>
      <w:r w:rsidR="007D0054" w:rsidRPr="00EA4DFA">
        <w:rPr>
          <w:b/>
        </w:rPr>
        <w:t>March</w:t>
      </w:r>
      <w:r w:rsidR="008D6E23" w:rsidRPr="00EA4DFA">
        <w:rPr>
          <w:b/>
        </w:rPr>
        <w:t xml:space="preserve"> 23</w:t>
      </w:r>
    </w:p>
    <w:p w14:paraId="2D3D850F" w14:textId="2840B7DB" w:rsidR="00A64108" w:rsidRPr="00EA4DFA" w:rsidRDefault="00E4789D" w:rsidP="007169C1">
      <w:pPr>
        <w:jc w:val="both"/>
        <w:rPr>
          <w:b/>
        </w:rPr>
      </w:pPr>
      <w:r w:rsidRPr="00EA4DFA">
        <w:rPr>
          <w:b/>
        </w:rPr>
        <w:t xml:space="preserve">Introduction </w:t>
      </w:r>
    </w:p>
    <w:p w14:paraId="3B9622FE" w14:textId="77777777" w:rsidR="00D30FC1" w:rsidRPr="00EA4DFA" w:rsidRDefault="00D30FC1" w:rsidP="007169C1">
      <w:pPr>
        <w:jc w:val="both"/>
        <w:rPr>
          <w:b/>
        </w:rPr>
      </w:pPr>
    </w:p>
    <w:p w14:paraId="0F7E290C" w14:textId="73A55D6A" w:rsidR="00122415" w:rsidRPr="00EA4DFA" w:rsidRDefault="00613F0B" w:rsidP="007169C1">
      <w:pPr>
        <w:jc w:val="both"/>
      </w:pPr>
      <w:r w:rsidRPr="00EA4DFA">
        <w:t xml:space="preserve">Jack A. Goldstone, </w:t>
      </w:r>
      <w:r w:rsidRPr="00EA4DFA">
        <w:rPr>
          <w:i/>
        </w:rPr>
        <w:t>Revolutions: A Very Short Introduction</w:t>
      </w:r>
      <w:r w:rsidRPr="00EA4DFA">
        <w:t xml:space="preserve"> (</w:t>
      </w:r>
      <w:r w:rsidR="004D4B69" w:rsidRPr="00EA4DFA">
        <w:t xml:space="preserve">Oxford: </w:t>
      </w:r>
      <w:r w:rsidRPr="00EA4DFA">
        <w:t>Oxford Univ</w:t>
      </w:r>
      <w:r w:rsidR="004D4B69" w:rsidRPr="00EA4DFA">
        <w:t>ersity</w:t>
      </w:r>
      <w:r w:rsidRPr="00EA4DFA">
        <w:t xml:space="preserve"> Press, 2014) pp. 1-25.</w:t>
      </w:r>
    </w:p>
    <w:p w14:paraId="67712387" w14:textId="77777777" w:rsidR="003F0A93" w:rsidRPr="00EA4DFA" w:rsidRDefault="003F0A93" w:rsidP="007169C1">
      <w:pPr>
        <w:jc w:val="both"/>
        <w:rPr>
          <w:b/>
        </w:rPr>
      </w:pPr>
    </w:p>
    <w:p w14:paraId="7EEE37D4" w14:textId="38C4A263" w:rsidR="003C065F" w:rsidRPr="00EA4DFA" w:rsidRDefault="009D0077" w:rsidP="007169C1">
      <w:pPr>
        <w:jc w:val="both"/>
        <w:rPr>
          <w:b/>
        </w:rPr>
      </w:pPr>
      <w:r w:rsidRPr="00EA4DFA">
        <w:rPr>
          <w:b/>
        </w:rPr>
        <w:t xml:space="preserve">Week </w:t>
      </w:r>
      <w:r w:rsidR="008D6E23" w:rsidRPr="00EA4DFA">
        <w:rPr>
          <w:b/>
        </w:rPr>
        <w:t>2,</w:t>
      </w:r>
      <w:r w:rsidR="00AA5580" w:rsidRPr="00EA4DFA">
        <w:rPr>
          <w:b/>
        </w:rPr>
        <w:t xml:space="preserve"> March</w:t>
      </w:r>
      <w:r w:rsidR="008D6E23" w:rsidRPr="00EA4DFA">
        <w:rPr>
          <w:b/>
        </w:rPr>
        <w:t xml:space="preserve"> 30</w:t>
      </w:r>
    </w:p>
    <w:p w14:paraId="75A0D15F" w14:textId="199EDF6E" w:rsidR="00DC49F4" w:rsidRPr="00EA4DFA" w:rsidRDefault="00122415" w:rsidP="007169C1">
      <w:pPr>
        <w:jc w:val="both"/>
        <w:rPr>
          <w:b/>
        </w:rPr>
      </w:pPr>
      <w:r w:rsidRPr="00EA4DFA">
        <w:rPr>
          <w:b/>
        </w:rPr>
        <w:t>Ottoman Empire in the Age of</w:t>
      </w:r>
      <w:r w:rsidR="00DC49F4" w:rsidRPr="00EA4DFA">
        <w:rPr>
          <w:b/>
        </w:rPr>
        <w:t xml:space="preserve"> Revolution</w:t>
      </w:r>
    </w:p>
    <w:p w14:paraId="53257862" w14:textId="77777777" w:rsidR="00716EDD" w:rsidRPr="00EA4DFA" w:rsidRDefault="00716EDD" w:rsidP="007169C1">
      <w:pPr>
        <w:jc w:val="both"/>
      </w:pPr>
    </w:p>
    <w:p w14:paraId="6E00075C" w14:textId="77777777" w:rsidR="001111E7" w:rsidRPr="00EA4DFA" w:rsidRDefault="001111E7" w:rsidP="001111E7">
      <w:pPr>
        <w:jc w:val="both"/>
      </w:pPr>
      <w:r w:rsidRPr="00EA4DFA">
        <w:t xml:space="preserve">Frederick F. Anscombe, “The Balkan Revolutionary Age,” in </w:t>
      </w:r>
      <w:r w:rsidRPr="00EA4DFA">
        <w:rPr>
          <w:i/>
          <w:iCs/>
        </w:rPr>
        <w:t>The Journal of Modern History</w:t>
      </w:r>
      <w:r w:rsidRPr="00EA4DFA">
        <w:t xml:space="preserve"> 84, no. 3 (2012) pp. 572-606.</w:t>
      </w:r>
    </w:p>
    <w:p w14:paraId="47250045" w14:textId="77777777" w:rsidR="00DC49F4" w:rsidRPr="00EA4DFA" w:rsidRDefault="00DC49F4" w:rsidP="007169C1">
      <w:pPr>
        <w:ind w:left="180"/>
        <w:jc w:val="both"/>
      </w:pPr>
    </w:p>
    <w:p w14:paraId="71884283" w14:textId="2575AF5B" w:rsidR="00DC49F4" w:rsidRPr="00EA4DFA" w:rsidRDefault="00DC49F4" w:rsidP="007169C1">
      <w:pPr>
        <w:jc w:val="both"/>
      </w:pPr>
      <w:r w:rsidRPr="00EA4DFA">
        <w:t xml:space="preserve">Tolga Esmer, “Economies of Violence, Banditry and Governance in the Late Ottoman Empire around 1800,” </w:t>
      </w:r>
      <w:r w:rsidR="001111E7" w:rsidRPr="00EA4DFA">
        <w:t xml:space="preserve">in </w:t>
      </w:r>
      <w:r w:rsidRPr="00EA4DFA">
        <w:rPr>
          <w:i/>
        </w:rPr>
        <w:t>Past &amp; Present</w:t>
      </w:r>
      <w:r w:rsidRPr="00EA4DFA">
        <w:t>, 224:1 (2014) 163-99.</w:t>
      </w:r>
    </w:p>
    <w:p w14:paraId="0972D5A6" w14:textId="13E0BB0D" w:rsidR="00F07368" w:rsidRPr="00EA4DFA" w:rsidRDefault="00F07368" w:rsidP="007169C1">
      <w:pPr>
        <w:jc w:val="both"/>
      </w:pPr>
    </w:p>
    <w:p w14:paraId="2F749F17" w14:textId="3B8F8D6E" w:rsidR="003C065F" w:rsidRPr="00EA4DFA" w:rsidRDefault="003C065F" w:rsidP="007169C1">
      <w:pPr>
        <w:jc w:val="both"/>
        <w:rPr>
          <w:u w:val="single"/>
        </w:rPr>
      </w:pPr>
      <w:r w:rsidRPr="00EA4DFA">
        <w:rPr>
          <w:u w:val="single"/>
        </w:rPr>
        <w:t>Optional Reading</w:t>
      </w:r>
      <w:r w:rsidR="00C367B1" w:rsidRPr="00EA4DFA">
        <w:rPr>
          <w:u w:val="single"/>
        </w:rPr>
        <w:t>s</w:t>
      </w:r>
    </w:p>
    <w:p w14:paraId="4DC78872" w14:textId="65D505C2" w:rsidR="003C065F" w:rsidRPr="00EA4DFA" w:rsidRDefault="003C065F" w:rsidP="007169C1">
      <w:pPr>
        <w:jc w:val="both"/>
      </w:pPr>
    </w:p>
    <w:p w14:paraId="2BE23DD3" w14:textId="0D0E4B80" w:rsidR="00F459E1" w:rsidRPr="00EA4DFA" w:rsidRDefault="00F459E1" w:rsidP="007169C1">
      <w:pPr>
        <w:jc w:val="both"/>
      </w:pPr>
      <w:r w:rsidRPr="00EA4DFA">
        <w:t xml:space="preserve">Dennis N. Skiotis, “The Greek Revolution: Ali Pasha’s Last Gamble,” in </w:t>
      </w:r>
      <w:r w:rsidRPr="00EA4DFA">
        <w:rPr>
          <w:i/>
        </w:rPr>
        <w:t>Hellenism and the First Greek War of Liberation (1821-1830) Continuity and Change</w:t>
      </w:r>
      <w:r w:rsidRPr="00EA4DFA">
        <w:t xml:space="preserve">, </w:t>
      </w:r>
      <w:r w:rsidR="00C92992">
        <w:t xml:space="preserve">ed. </w:t>
      </w:r>
      <w:r w:rsidRPr="00EA4DFA">
        <w:t>P. D. Nikiforos (Institute for Balkan Studies, 1976) 97-109.</w:t>
      </w:r>
    </w:p>
    <w:p w14:paraId="384AE28E" w14:textId="77777777" w:rsidR="00F459E1" w:rsidRPr="00EA4DFA" w:rsidRDefault="00F459E1" w:rsidP="007169C1">
      <w:pPr>
        <w:jc w:val="both"/>
      </w:pPr>
    </w:p>
    <w:p w14:paraId="4B3C5911" w14:textId="07AE9115" w:rsidR="001C0113" w:rsidRPr="00EA4DFA" w:rsidRDefault="002A3F4E" w:rsidP="007169C1">
      <w:pPr>
        <w:jc w:val="both"/>
      </w:pPr>
      <w:r w:rsidRPr="00EA4DFA">
        <w:t xml:space="preserve">Benedict Anderson, </w:t>
      </w:r>
      <w:r w:rsidRPr="00EA4DFA">
        <w:rPr>
          <w:i/>
        </w:rPr>
        <w:t>Imagined Communities: Reflections on the Origin and Spread of Nationalism</w:t>
      </w:r>
      <w:r w:rsidRPr="00EA4DFA">
        <w:t xml:space="preserve"> (</w:t>
      </w:r>
      <w:r w:rsidR="007169C1" w:rsidRPr="00EA4DFA">
        <w:t>London: Verso, 1983</w:t>
      </w:r>
      <w:r w:rsidRPr="00EA4DFA">
        <w:t>) pp. 47-65.</w:t>
      </w:r>
    </w:p>
    <w:p w14:paraId="3F91B7C7" w14:textId="77777777" w:rsidR="002A3F4E" w:rsidRPr="00EA4DFA" w:rsidRDefault="002A3F4E" w:rsidP="007169C1">
      <w:pPr>
        <w:jc w:val="both"/>
      </w:pPr>
    </w:p>
    <w:p w14:paraId="56FB0836" w14:textId="28233783" w:rsidR="00D166D9" w:rsidRPr="00EA4DFA" w:rsidRDefault="00F07368" w:rsidP="007169C1">
      <w:pPr>
        <w:jc w:val="both"/>
        <w:rPr>
          <w:b/>
        </w:rPr>
      </w:pPr>
      <w:r w:rsidRPr="00EA4DFA">
        <w:rPr>
          <w:b/>
        </w:rPr>
        <w:t xml:space="preserve">Week </w:t>
      </w:r>
      <w:r w:rsidR="008D6E23" w:rsidRPr="00EA4DFA">
        <w:rPr>
          <w:b/>
        </w:rPr>
        <w:t xml:space="preserve">3, </w:t>
      </w:r>
      <w:r w:rsidR="00AA5580" w:rsidRPr="00EA4DFA">
        <w:rPr>
          <w:b/>
        </w:rPr>
        <w:t>April</w:t>
      </w:r>
      <w:r w:rsidR="008D6E23" w:rsidRPr="00EA4DFA">
        <w:rPr>
          <w:b/>
        </w:rPr>
        <w:t xml:space="preserve"> 6</w:t>
      </w:r>
    </w:p>
    <w:p w14:paraId="2A779E09" w14:textId="0339AEFE" w:rsidR="00F07368" w:rsidRPr="00EA4DFA" w:rsidRDefault="00AA5580" w:rsidP="007169C1">
      <w:pPr>
        <w:jc w:val="both"/>
        <w:rPr>
          <w:b/>
        </w:rPr>
      </w:pPr>
      <w:r w:rsidRPr="00EA4DFA">
        <w:rPr>
          <w:b/>
        </w:rPr>
        <w:t>Revolutions of 1848 and the Ottoman Empire</w:t>
      </w:r>
    </w:p>
    <w:p w14:paraId="29CE88AD" w14:textId="735E2518" w:rsidR="00CF259A" w:rsidRPr="00EA4DFA" w:rsidRDefault="00CF259A" w:rsidP="007169C1">
      <w:pPr>
        <w:jc w:val="both"/>
      </w:pPr>
    </w:p>
    <w:p w14:paraId="5EEB89E0" w14:textId="1921DC10" w:rsidR="00CF259A" w:rsidRPr="00EA4DFA" w:rsidRDefault="008E2B78" w:rsidP="007169C1">
      <w:pPr>
        <w:jc w:val="both"/>
      </w:pPr>
      <w:r w:rsidRPr="00EA4DFA">
        <w:t>Anna Vakalis, “Tanzimat in the Province: Nationalist Sedition (</w:t>
      </w:r>
      <w:r w:rsidRPr="00EA4DFA">
        <w:rPr>
          <w:i/>
        </w:rPr>
        <w:t>Fesat</w:t>
      </w:r>
      <w:r w:rsidRPr="00EA4DFA">
        <w:t>), Banditry (</w:t>
      </w:r>
      <w:r w:rsidRPr="00EA4DFA">
        <w:rPr>
          <w:i/>
        </w:rPr>
        <w:t>Eşkiya</w:t>
      </w:r>
      <w:r w:rsidRPr="00EA4DFA">
        <w:t xml:space="preserve">) and Local Councils in the Ottoman Southern Balkans (1840s to 1860s),” Ph.D. Dissertation, University of Basel, 2019, pp. </w:t>
      </w:r>
      <w:r w:rsidR="006B2B80" w:rsidRPr="00EA4DFA">
        <w:t>116-99.</w:t>
      </w:r>
    </w:p>
    <w:p w14:paraId="383C1963" w14:textId="77777777" w:rsidR="008E2B78" w:rsidRPr="00EA4DFA" w:rsidRDefault="008E2B78" w:rsidP="007169C1">
      <w:pPr>
        <w:jc w:val="both"/>
      </w:pPr>
    </w:p>
    <w:p w14:paraId="2301EE75" w14:textId="3FA243D9" w:rsidR="008E2B78" w:rsidRPr="00EA4DFA" w:rsidRDefault="008E2B78" w:rsidP="007169C1">
      <w:pPr>
        <w:pStyle w:val="FootnoteText"/>
        <w:jc w:val="both"/>
        <w:rPr>
          <w:rFonts w:cs="Times New Roman"/>
          <w:sz w:val="24"/>
          <w:szCs w:val="24"/>
        </w:rPr>
      </w:pPr>
      <w:r w:rsidRPr="00EA4DFA">
        <w:rPr>
          <w:rFonts w:cs="Times New Roman"/>
          <w:sz w:val="24"/>
          <w:szCs w:val="24"/>
        </w:rPr>
        <w:t xml:space="preserve">Andreas Kosmas Lyberatos, “The Nation in the Balkan Village: National Politicization in Mid-Nineteenth-Century Ottoman Thrace,” in </w:t>
      </w:r>
      <w:r w:rsidRPr="00EA4DFA">
        <w:rPr>
          <w:rFonts w:cs="Times New Roman"/>
          <w:i/>
          <w:sz w:val="24"/>
          <w:szCs w:val="24"/>
        </w:rPr>
        <w:t>Turkish Historical Review</w:t>
      </w:r>
      <w:r w:rsidRPr="00EA4DFA">
        <w:rPr>
          <w:rFonts w:cs="Times New Roman"/>
          <w:sz w:val="24"/>
          <w:szCs w:val="24"/>
        </w:rPr>
        <w:t>, 7:2 (Oct. 2016) pp. 167-93.</w:t>
      </w:r>
    </w:p>
    <w:p w14:paraId="1BDB6FF1" w14:textId="4C623256" w:rsidR="008E2B78" w:rsidRPr="00EA4DFA" w:rsidRDefault="008E2B78" w:rsidP="007169C1">
      <w:pPr>
        <w:jc w:val="both"/>
      </w:pPr>
    </w:p>
    <w:p w14:paraId="0E3E027D" w14:textId="154EB105" w:rsidR="008E2B78" w:rsidRPr="00EA4DFA" w:rsidRDefault="008E2B78" w:rsidP="007169C1">
      <w:pPr>
        <w:jc w:val="both"/>
        <w:rPr>
          <w:u w:val="single"/>
        </w:rPr>
      </w:pPr>
      <w:r w:rsidRPr="00EA4DFA">
        <w:rPr>
          <w:u w:val="single"/>
        </w:rPr>
        <w:t>Optional Readings</w:t>
      </w:r>
    </w:p>
    <w:p w14:paraId="06E9D700" w14:textId="77777777" w:rsidR="00EE4CB4" w:rsidRPr="00EA4DFA" w:rsidRDefault="00EE4CB4" w:rsidP="007169C1">
      <w:pPr>
        <w:jc w:val="both"/>
        <w:rPr>
          <w:u w:val="single"/>
        </w:rPr>
      </w:pPr>
    </w:p>
    <w:p w14:paraId="38352227" w14:textId="038510BD" w:rsidR="00EE4CB4" w:rsidRPr="00EA4DFA" w:rsidRDefault="00EE4CB4" w:rsidP="00EE4CB4">
      <w:pPr>
        <w:jc w:val="both"/>
      </w:pPr>
      <w:r w:rsidRPr="00EA4DFA">
        <w:t xml:space="preserve">Cengiz Yolcu, ‘“Bulgar Fesad Komitesi Reisi” Vasil Levski’nin Eylemleri ve Mahkemede Verdiği İfade Üzerine bir Değerlendirme’, in </w:t>
      </w:r>
      <w:r w:rsidRPr="00EA4DFA">
        <w:rPr>
          <w:i/>
        </w:rPr>
        <w:t>Güney-Doğu Avrupa Araştırmaları Dergisi</w:t>
      </w:r>
      <w:r w:rsidRPr="00EA4DFA">
        <w:t xml:space="preserve"> 27 (2015)</w:t>
      </w:r>
      <w:r w:rsidR="00984E26">
        <w:t xml:space="preserve"> pp.</w:t>
      </w:r>
      <w:r w:rsidRPr="00EA4DFA">
        <w:t xml:space="preserve"> 15–63.</w:t>
      </w:r>
    </w:p>
    <w:p w14:paraId="00ED25CF" w14:textId="77777777" w:rsidR="00EE4CB4" w:rsidRPr="00EA4DFA" w:rsidRDefault="00EE4CB4" w:rsidP="007169C1">
      <w:pPr>
        <w:jc w:val="both"/>
      </w:pPr>
    </w:p>
    <w:p w14:paraId="15D3FF1D" w14:textId="2780ABA7" w:rsidR="004871F1" w:rsidRPr="00EA4DFA" w:rsidRDefault="004871F1" w:rsidP="004871F1">
      <w:pPr>
        <w:jc w:val="both"/>
      </w:pPr>
      <w:r w:rsidRPr="00EA4DFA">
        <w:t xml:space="preserve">Idean Salehyan, </w:t>
      </w:r>
      <w:r w:rsidRPr="00EA4DFA">
        <w:rPr>
          <w:i/>
        </w:rPr>
        <w:t>Rebels without Borders: Transnational Insurgencies in World Politics</w:t>
      </w:r>
      <w:r w:rsidRPr="00EA4DFA">
        <w:t xml:space="preserve"> (Ithaca: Cornell University Press, 2009) </w:t>
      </w:r>
      <w:r w:rsidR="00984E26">
        <w:t xml:space="preserve">pp. </w:t>
      </w:r>
      <w:r w:rsidRPr="00EA4DFA">
        <w:t>19-55.</w:t>
      </w:r>
    </w:p>
    <w:p w14:paraId="31BE1276" w14:textId="77777777" w:rsidR="008E2B78" w:rsidRPr="00EA4DFA" w:rsidRDefault="008E2B78" w:rsidP="007169C1">
      <w:pPr>
        <w:jc w:val="both"/>
      </w:pPr>
    </w:p>
    <w:p w14:paraId="2A9F2BB9" w14:textId="3F10F9EC" w:rsidR="00D279B1" w:rsidRPr="00EA4DFA" w:rsidRDefault="00725464" w:rsidP="007169C1">
      <w:pPr>
        <w:jc w:val="both"/>
        <w:rPr>
          <w:b/>
        </w:rPr>
      </w:pPr>
      <w:r w:rsidRPr="00EA4DFA">
        <w:rPr>
          <w:b/>
        </w:rPr>
        <w:t>Wee</w:t>
      </w:r>
      <w:r w:rsidR="00D279B1" w:rsidRPr="00EA4DFA">
        <w:rPr>
          <w:b/>
        </w:rPr>
        <w:t>k 4,</w:t>
      </w:r>
      <w:r w:rsidRPr="00EA4DFA">
        <w:rPr>
          <w:b/>
        </w:rPr>
        <w:t xml:space="preserve"> </w:t>
      </w:r>
      <w:r w:rsidR="00D279B1" w:rsidRPr="00EA4DFA">
        <w:rPr>
          <w:b/>
        </w:rPr>
        <w:t>April 13</w:t>
      </w:r>
    </w:p>
    <w:p w14:paraId="572EF344" w14:textId="1E7A98BC" w:rsidR="00725464" w:rsidRPr="00EA4DFA" w:rsidRDefault="008A6B56" w:rsidP="007169C1">
      <w:pPr>
        <w:jc w:val="both"/>
        <w:rPr>
          <w:b/>
        </w:rPr>
      </w:pPr>
      <w:r w:rsidRPr="00EA4DFA">
        <w:rPr>
          <w:b/>
        </w:rPr>
        <w:lastRenderedPageBreak/>
        <w:t xml:space="preserve">Heightened </w:t>
      </w:r>
      <w:r w:rsidR="00C57C7C" w:rsidRPr="00EA4DFA">
        <w:rPr>
          <w:b/>
        </w:rPr>
        <w:t>Interstate</w:t>
      </w:r>
      <w:r w:rsidRPr="00EA4DFA">
        <w:rPr>
          <w:b/>
        </w:rPr>
        <w:t xml:space="preserve"> </w:t>
      </w:r>
      <w:r w:rsidR="00725464" w:rsidRPr="00EA4DFA">
        <w:rPr>
          <w:b/>
        </w:rPr>
        <w:t>Competition</w:t>
      </w:r>
    </w:p>
    <w:p w14:paraId="04B1B254" w14:textId="77777777" w:rsidR="008A6B56" w:rsidRPr="00EA4DFA" w:rsidRDefault="008A6B56" w:rsidP="007169C1">
      <w:pPr>
        <w:jc w:val="both"/>
      </w:pPr>
    </w:p>
    <w:p w14:paraId="132A3030" w14:textId="504DF270" w:rsidR="00BA0A3E" w:rsidRPr="00EA4DFA" w:rsidRDefault="00096C16" w:rsidP="007169C1">
      <w:pPr>
        <w:jc w:val="both"/>
      </w:pPr>
      <w:r w:rsidRPr="00EA4DFA">
        <w:t xml:space="preserve">Mark Biondich, </w:t>
      </w:r>
      <w:r w:rsidRPr="00EA4DFA">
        <w:rPr>
          <w:i/>
        </w:rPr>
        <w:t>The Balkans: Revolution, War, and Political Violence since 1878</w:t>
      </w:r>
      <w:r w:rsidRPr="00EA4DFA">
        <w:t xml:space="preserve"> (New York: Oxford University Press, 2011) </w:t>
      </w:r>
      <w:r w:rsidR="00BA0A3E" w:rsidRPr="00EA4DFA">
        <w:t>pp. 46-</w:t>
      </w:r>
      <w:r w:rsidRPr="00EA4DFA">
        <w:t>75.</w:t>
      </w:r>
    </w:p>
    <w:p w14:paraId="57B4377E" w14:textId="77777777" w:rsidR="00916E71" w:rsidRPr="00EA4DFA" w:rsidRDefault="00916E71" w:rsidP="007169C1">
      <w:pPr>
        <w:jc w:val="both"/>
      </w:pPr>
    </w:p>
    <w:p w14:paraId="62D5AD1A" w14:textId="45925D7A" w:rsidR="003354F4" w:rsidRPr="00EA4DFA" w:rsidRDefault="003354F4" w:rsidP="007169C1">
      <w:pPr>
        <w:jc w:val="both"/>
      </w:pPr>
      <w:r w:rsidRPr="00EA4DFA">
        <w:t xml:space="preserve">Duncan Perry, </w:t>
      </w:r>
      <w:r w:rsidRPr="00EA4DFA">
        <w:rPr>
          <w:i/>
        </w:rPr>
        <w:t>The Politics of Terror: The Macedonian Revolutionary Movement, 1893-1903</w:t>
      </w:r>
      <w:r w:rsidRPr="00EA4DFA">
        <w:t xml:space="preserve"> (Durham: Duke University Press, 1988) pp. 31-69.</w:t>
      </w:r>
    </w:p>
    <w:p w14:paraId="39FBBD84" w14:textId="09A24A1F" w:rsidR="00BF4CCB" w:rsidRPr="00EA4DFA" w:rsidRDefault="00BF4CCB" w:rsidP="007169C1">
      <w:pPr>
        <w:jc w:val="both"/>
      </w:pPr>
    </w:p>
    <w:p w14:paraId="5A1B3EF7" w14:textId="53E9C7BB" w:rsidR="00BF4CCB" w:rsidRPr="00EA4DFA" w:rsidRDefault="00BF4CCB" w:rsidP="00BF4CCB">
      <w:pPr>
        <w:jc w:val="both"/>
        <w:rPr>
          <w:u w:val="single"/>
        </w:rPr>
      </w:pPr>
      <w:r w:rsidRPr="00EA4DFA">
        <w:rPr>
          <w:u w:val="single"/>
        </w:rPr>
        <w:t>Optional Readings</w:t>
      </w:r>
    </w:p>
    <w:p w14:paraId="4AA03BA2" w14:textId="77777777" w:rsidR="00EE4CB4" w:rsidRPr="00EA4DFA" w:rsidRDefault="00EE4CB4" w:rsidP="00BF4CCB">
      <w:pPr>
        <w:jc w:val="both"/>
        <w:rPr>
          <w:u w:val="single"/>
        </w:rPr>
      </w:pPr>
    </w:p>
    <w:p w14:paraId="22328287" w14:textId="77777777" w:rsidR="00916E71" w:rsidRPr="00EA4DFA" w:rsidRDefault="00916E71" w:rsidP="00916E71">
      <w:pPr>
        <w:jc w:val="both"/>
      </w:pPr>
      <w:r w:rsidRPr="00EA4DFA">
        <w:t>Feroze A. K. Yasamee, “European Equilibrium or Asiatic Balance of Power? The Ottoman Search for Security in the Aftermath of the Congress of Berlin,”</w:t>
      </w:r>
      <w:r w:rsidRPr="00EA4DFA">
        <w:rPr>
          <w:b/>
        </w:rPr>
        <w:t xml:space="preserve"> </w:t>
      </w:r>
      <w:r w:rsidRPr="00EA4DFA">
        <w:t xml:space="preserve">in M. Hakan Yavuz with Peter Sluglett, </w:t>
      </w:r>
      <w:r w:rsidRPr="00EA4DFA">
        <w:rPr>
          <w:i/>
          <w:iCs/>
        </w:rPr>
        <w:t>War and Diplomacy: the Russo-Turkish War of 1877-78 and the Treaty of Berlin</w:t>
      </w:r>
      <w:r w:rsidRPr="00EA4DFA">
        <w:t xml:space="preserve"> (Salt Lake City: University of Utah Press, 2011) pp. 56-78.</w:t>
      </w:r>
    </w:p>
    <w:p w14:paraId="298D062C" w14:textId="77777777" w:rsidR="00916E71" w:rsidRPr="00EA4DFA" w:rsidRDefault="00916E71" w:rsidP="007169C1">
      <w:pPr>
        <w:jc w:val="both"/>
      </w:pPr>
    </w:p>
    <w:p w14:paraId="32024095" w14:textId="50716719" w:rsidR="00BF4CCB" w:rsidRPr="00EA4DFA" w:rsidRDefault="00BF4CCB" w:rsidP="007169C1">
      <w:pPr>
        <w:jc w:val="both"/>
      </w:pPr>
      <w:r w:rsidRPr="00EA4DFA">
        <w:t xml:space="preserve">Carole Fink, </w:t>
      </w:r>
      <w:r w:rsidRPr="00EA4DFA">
        <w:rPr>
          <w:i/>
        </w:rPr>
        <w:t>Defending the Rights of Others: The Great Powers, the Jews and International Minority Protection, 1878-1938</w:t>
      </w:r>
      <w:r w:rsidRPr="00EA4DFA">
        <w:t xml:space="preserve"> (Cambridge: Cambridge University Press, 2004) pp. 3-38.</w:t>
      </w:r>
    </w:p>
    <w:p w14:paraId="1060B5CE" w14:textId="77777777" w:rsidR="00C14B96" w:rsidRPr="00EA4DFA" w:rsidRDefault="00C14B96" w:rsidP="007169C1">
      <w:pPr>
        <w:jc w:val="both"/>
      </w:pPr>
    </w:p>
    <w:p w14:paraId="74034B22" w14:textId="3154306F" w:rsidR="001D48E2" w:rsidRPr="00EA4DFA" w:rsidRDefault="00C14B96" w:rsidP="007169C1">
      <w:pPr>
        <w:jc w:val="both"/>
        <w:rPr>
          <w:b/>
        </w:rPr>
      </w:pPr>
      <w:r w:rsidRPr="00EA4DFA">
        <w:rPr>
          <w:b/>
        </w:rPr>
        <w:t xml:space="preserve">Week </w:t>
      </w:r>
      <w:r w:rsidR="001D48E2" w:rsidRPr="00EA4DFA">
        <w:rPr>
          <w:b/>
        </w:rPr>
        <w:t>5, April 20</w:t>
      </w:r>
    </w:p>
    <w:p w14:paraId="692B4E37" w14:textId="099E8C4F" w:rsidR="00C14B96" w:rsidRPr="00EA4DFA" w:rsidRDefault="00B32422" w:rsidP="007169C1">
      <w:pPr>
        <w:jc w:val="both"/>
        <w:rPr>
          <w:b/>
        </w:rPr>
      </w:pPr>
      <w:r w:rsidRPr="00EA4DFA">
        <w:rPr>
          <w:b/>
        </w:rPr>
        <w:t>Changing Horizons of Expectations</w:t>
      </w:r>
    </w:p>
    <w:p w14:paraId="5D59C23B" w14:textId="77777777" w:rsidR="00C14B96" w:rsidRPr="00EA4DFA" w:rsidRDefault="00C14B96" w:rsidP="007169C1">
      <w:pPr>
        <w:jc w:val="both"/>
      </w:pPr>
    </w:p>
    <w:p w14:paraId="3BA34224" w14:textId="1B18D907" w:rsidR="00933645" w:rsidRPr="00EA4DFA" w:rsidRDefault="00933645" w:rsidP="00933645">
      <w:pPr>
        <w:jc w:val="both"/>
      </w:pPr>
      <w:r w:rsidRPr="00EA4DFA">
        <w:t xml:space="preserve">İpek K. Yosmaoğlu, </w:t>
      </w:r>
      <w:r w:rsidRPr="00EA4DFA">
        <w:rPr>
          <w:i/>
          <w:iCs/>
        </w:rPr>
        <w:t>Blood Ties: Religion, Violence, and the Politics of Nationhood in Ottoman Macedonia, 1878–1908</w:t>
      </w:r>
      <w:r w:rsidRPr="00EA4DFA">
        <w:t xml:space="preserve"> (Ithaca: Cornell University Press, 2014) pp. 48-78.</w:t>
      </w:r>
    </w:p>
    <w:p w14:paraId="4EB89F7C" w14:textId="0063B499" w:rsidR="00C14B96" w:rsidRDefault="00C14B96" w:rsidP="007169C1">
      <w:pPr>
        <w:jc w:val="both"/>
      </w:pPr>
    </w:p>
    <w:p w14:paraId="75F92ECB" w14:textId="77777777" w:rsidR="002501A2" w:rsidRPr="00EA4DFA" w:rsidRDefault="002501A2" w:rsidP="002501A2">
      <w:pPr>
        <w:jc w:val="both"/>
      </w:pPr>
      <w:r w:rsidRPr="00EA4DFA">
        <w:t xml:space="preserve">Oya Gözel-Durmaz, ‘The Rise of the Ottoman Military Medical School as the Center of Anti-Hamidian Opposition’, in </w:t>
      </w:r>
      <w:r w:rsidRPr="00EA4DFA">
        <w:rPr>
          <w:i/>
        </w:rPr>
        <w:t>Current Debates in History and Politics</w:t>
      </w:r>
      <w:r w:rsidRPr="00EA4DFA">
        <w:t>, eds. Oya Gözel-Durmaz, Abidin Çevik, and Günay Gönüllü (London: IJOPEC, 2017)</w:t>
      </w:r>
      <w:r>
        <w:t xml:space="preserve"> pp.</w:t>
      </w:r>
      <w:r w:rsidRPr="00EA4DFA">
        <w:t xml:space="preserve"> 7–20.</w:t>
      </w:r>
    </w:p>
    <w:p w14:paraId="3B2B5A39" w14:textId="77777777" w:rsidR="004F458D" w:rsidRPr="00EA4DFA" w:rsidRDefault="004F458D" w:rsidP="007169C1">
      <w:pPr>
        <w:jc w:val="both"/>
      </w:pPr>
    </w:p>
    <w:p w14:paraId="424F4867" w14:textId="75E01690" w:rsidR="00244236" w:rsidRPr="00EA4DFA" w:rsidRDefault="00244236" w:rsidP="007169C1">
      <w:pPr>
        <w:jc w:val="both"/>
        <w:rPr>
          <w:u w:val="single"/>
        </w:rPr>
      </w:pPr>
      <w:r w:rsidRPr="00EA4DFA">
        <w:rPr>
          <w:u w:val="single"/>
        </w:rPr>
        <w:t>Optional Readings</w:t>
      </w:r>
    </w:p>
    <w:p w14:paraId="341F1201" w14:textId="0F1F8B3C" w:rsidR="00773F77" w:rsidRPr="00EA4DFA" w:rsidRDefault="00773F77" w:rsidP="007169C1">
      <w:pPr>
        <w:jc w:val="both"/>
      </w:pPr>
    </w:p>
    <w:p w14:paraId="482D4268" w14:textId="17B449A1" w:rsidR="00FD38DC" w:rsidRPr="00EA4DFA" w:rsidRDefault="00FD38DC" w:rsidP="007169C1">
      <w:pPr>
        <w:jc w:val="both"/>
      </w:pPr>
      <w:r w:rsidRPr="00EA4DFA">
        <w:t xml:space="preserve">Ilham Khuri-Makdisi, </w:t>
      </w:r>
      <w:r w:rsidRPr="00EA4DFA">
        <w:rPr>
          <w:i/>
          <w:iCs/>
        </w:rPr>
        <w:t>The Eastern Mediterranean and the Making of Global Radicalism, 1860-1914</w:t>
      </w:r>
      <w:r w:rsidRPr="00EA4DFA">
        <w:t xml:space="preserve"> (Berkeley: University of California Press, 2010) pp. 60-93.</w:t>
      </w:r>
    </w:p>
    <w:p w14:paraId="7C88821C" w14:textId="2CE0AF85" w:rsidR="00F40CF6" w:rsidRDefault="00F40CF6" w:rsidP="007169C1">
      <w:pPr>
        <w:jc w:val="both"/>
      </w:pPr>
    </w:p>
    <w:p w14:paraId="42BA42A7" w14:textId="3E596509" w:rsidR="002501A2" w:rsidRPr="00EA4DFA" w:rsidRDefault="002501A2" w:rsidP="007169C1">
      <w:pPr>
        <w:jc w:val="both"/>
      </w:pPr>
      <w:r w:rsidRPr="00EA4DFA">
        <w:t>Niall Whelehan, “</w:t>
      </w:r>
      <w:r w:rsidRPr="00EA4DFA">
        <w:rPr>
          <w:iCs/>
        </w:rPr>
        <w:t>Youth, Generations, and Collective Action in Nineteenth-Century Ireland and Italy,”</w:t>
      </w:r>
      <w:r w:rsidRPr="00EA4DFA">
        <w:t xml:space="preserve"> in </w:t>
      </w:r>
      <w:r w:rsidRPr="00EA4DFA">
        <w:rPr>
          <w:i/>
        </w:rPr>
        <w:t>Comparative Studies in Society and History</w:t>
      </w:r>
      <w:r w:rsidRPr="00EA4DFA">
        <w:t xml:space="preserve">, 56:4 (2014) pp. 934-66. </w:t>
      </w:r>
    </w:p>
    <w:p w14:paraId="2441681E" w14:textId="5AA6594B" w:rsidR="00D81C12" w:rsidRPr="00EA4DFA" w:rsidRDefault="00D81C12" w:rsidP="007169C1">
      <w:pPr>
        <w:jc w:val="both"/>
      </w:pPr>
    </w:p>
    <w:p w14:paraId="3AA8CAF2" w14:textId="31223DA2" w:rsidR="00F61540" w:rsidRPr="00EA4DFA" w:rsidRDefault="003F0A93" w:rsidP="007169C1">
      <w:pPr>
        <w:jc w:val="both"/>
        <w:rPr>
          <w:b/>
        </w:rPr>
      </w:pPr>
      <w:r w:rsidRPr="00EA4DFA">
        <w:rPr>
          <w:b/>
        </w:rPr>
        <w:t xml:space="preserve">Week </w:t>
      </w:r>
      <w:r w:rsidR="00F61540" w:rsidRPr="00EA4DFA">
        <w:rPr>
          <w:b/>
        </w:rPr>
        <w:t>6, April 27</w:t>
      </w:r>
    </w:p>
    <w:p w14:paraId="6BA4E17A" w14:textId="2D7098D6" w:rsidR="003F0A93" w:rsidRPr="00EA4DFA" w:rsidRDefault="001968FE" w:rsidP="007169C1">
      <w:pPr>
        <w:jc w:val="both"/>
        <w:rPr>
          <w:b/>
        </w:rPr>
      </w:pPr>
      <w:r>
        <w:rPr>
          <w:b/>
        </w:rPr>
        <w:t xml:space="preserve">Patters of </w:t>
      </w:r>
      <w:r w:rsidR="009942BA">
        <w:rPr>
          <w:b/>
        </w:rPr>
        <w:t>Elite Competition</w:t>
      </w:r>
    </w:p>
    <w:p w14:paraId="58E2B8A9" w14:textId="77777777" w:rsidR="003F0A93" w:rsidRPr="00EA4DFA" w:rsidRDefault="003F0A93" w:rsidP="007169C1">
      <w:pPr>
        <w:jc w:val="both"/>
      </w:pPr>
    </w:p>
    <w:p w14:paraId="0CD30CE1" w14:textId="537FE9C0" w:rsidR="003F0A93" w:rsidRDefault="003F0A93" w:rsidP="007169C1">
      <w:pPr>
        <w:jc w:val="both"/>
      </w:pPr>
      <w:r w:rsidRPr="00EA4DFA">
        <w:t xml:space="preserve">İpek K. Yosmaoğlu, </w:t>
      </w:r>
      <w:r w:rsidRPr="00EA4DFA">
        <w:rPr>
          <w:i/>
          <w:iCs/>
        </w:rPr>
        <w:t>Blood Ties: Religion, Violence, and the Politics of Nationhood in Ottoman Macedonia, 1878–1908</w:t>
      </w:r>
      <w:r w:rsidRPr="00EA4DFA">
        <w:t xml:space="preserve"> (Ithaca: Cornell University Press, 2014) </w:t>
      </w:r>
      <w:r w:rsidR="005875C4">
        <w:t>pp. 169-208</w:t>
      </w:r>
      <w:r w:rsidRPr="00EA4DFA">
        <w:t>.</w:t>
      </w:r>
    </w:p>
    <w:p w14:paraId="3C61C25E" w14:textId="5845FC15" w:rsidR="00D375AF" w:rsidRDefault="00D375AF" w:rsidP="007169C1">
      <w:pPr>
        <w:jc w:val="both"/>
      </w:pPr>
    </w:p>
    <w:p w14:paraId="0FE49968" w14:textId="6D3742F0" w:rsidR="001968FE" w:rsidRDefault="001968FE" w:rsidP="007169C1">
      <w:pPr>
        <w:jc w:val="both"/>
      </w:pPr>
      <w:r>
        <w:t xml:space="preserve">Tetsuya Sahara, “The Making of ‘Black Hand’ Reconsidered,” in </w:t>
      </w:r>
      <w:r w:rsidRPr="001968FE">
        <w:rPr>
          <w:i/>
        </w:rPr>
        <w:t>Istorija 20. Veka</w:t>
      </w:r>
      <w:r>
        <w:t xml:space="preserve">, </w:t>
      </w:r>
      <w:r w:rsidR="005B5975">
        <w:t>1</w:t>
      </w:r>
      <w:r>
        <w:t xml:space="preserve"> (2016) pp. 9-29.</w:t>
      </w:r>
    </w:p>
    <w:p w14:paraId="3ABC7A19" w14:textId="3C6BEC76" w:rsidR="003F0A93" w:rsidRPr="00EA4DFA" w:rsidRDefault="003F0A93" w:rsidP="007169C1">
      <w:pPr>
        <w:jc w:val="both"/>
      </w:pPr>
    </w:p>
    <w:p w14:paraId="2F17290C" w14:textId="77777777" w:rsidR="00933645" w:rsidRPr="00EA4DFA" w:rsidRDefault="00933645" w:rsidP="00933645">
      <w:pPr>
        <w:jc w:val="both"/>
        <w:rPr>
          <w:u w:val="single"/>
        </w:rPr>
      </w:pPr>
      <w:r w:rsidRPr="00EA4DFA">
        <w:rPr>
          <w:u w:val="single"/>
        </w:rPr>
        <w:t>Optional Readings</w:t>
      </w:r>
    </w:p>
    <w:p w14:paraId="515FB902" w14:textId="77777777" w:rsidR="00F20CD6" w:rsidRPr="00EA4DFA" w:rsidRDefault="00F20CD6" w:rsidP="007169C1">
      <w:pPr>
        <w:jc w:val="both"/>
      </w:pPr>
    </w:p>
    <w:p w14:paraId="65B79030" w14:textId="77777777" w:rsidR="00D375AF" w:rsidRPr="00EA4DFA" w:rsidRDefault="00D375AF" w:rsidP="00D375AF">
      <w:pPr>
        <w:jc w:val="both"/>
      </w:pPr>
      <w:r w:rsidRPr="00EA4DFA">
        <w:t xml:space="preserve">Dimitris Livanios, ‘“Conquering the Souls”: Nationalism and Greek Guerilla Warfare in Ottoman Macedonia, 1904–1908’, </w:t>
      </w:r>
      <w:r w:rsidRPr="00EA4DFA">
        <w:rPr>
          <w:i/>
        </w:rPr>
        <w:t>Byzantine and Modern Greek Studies</w:t>
      </w:r>
      <w:r w:rsidRPr="00EA4DFA">
        <w:t xml:space="preserve"> 23 (1999).</w:t>
      </w:r>
    </w:p>
    <w:p w14:paraId="453FA45D" w14:textId="77777777" w:rsidR="00F4575A" w:rsidRPr="00EA4DFA" w:rsidRDefault="00F4575A" w:rsidP="007169C1">
      <w:pPr>
        <w:jc w:val="both"/>
      </w:pPr>
    </w:p>
    <w:p w14:paraId="32D86BEE" w14:textId="7C0FE95E" w:rsidR="00D32816" w:rsidRDefault="001968FE" w:rsidP="007169C1">
      <w:pPr>
        <w:jc w:val="both"/>
      </w:pPr>
      <w:r w:rsidRPr="00D375AF">
        <w:lastRenderedPageBreak/>
        <w:t xml:space="preserve">Hagop Barsoumian, “The Dual Role of the Armenian Amira Class within the Ottoman Government and the Armenian Millet (1750-1850),” in </w:t>
      </w:r>
      <w:r w:rsidRPr="00102615">
        <w:rPr>
          <w:i/>
        </w:rPr>
        <w:t>Christians and Jews in the Ottoman Empire: the Functioning of a Plural Society</w:t>
      </w:r>
      <w:r w:rsidRPr="00D375AF">
        <w:t xml:space="preserve">, vol.1, eds. Benjamin Braude and Bernard Lewis (New York: Holmes &amp; Meier Publishers, 1982) pp. </w:t>
      </w:r>
      <w:r>
        <w:t>171-84.</w:t>
      </w:r>
    </w:p>
    <w:p w14:paraId="0B499BB3" w14:textId="2F82C806" w:rsidR="009942BA" w:rsidRDefault="009942BA" w:rsidP="007169C1">
      <w:pPr>
        <w:jc w:val="both"/>
      </w:pPr>
    </w:p>
    <w:p w14:paraId="4740488C" w14:textId="082C0FCF" w:rsidR="00AE3FD6" w:rsidRDefault="00AE3FD6" w:rsidP="007169C1">
      <w:pPr>
        <w:jc w:val="both"/>
      </w:pPr>
    </w:p>
    <w:p w14:paraId="1D672FB9" w14:textId="77777777" w:rsidR="00AE3FD6" w:rsidRPr="00EA4DFA" w:rsidRDefault="00AE3FD6" w:rsidP="007169C1">
      <w:pPr>
        <w:jc w:val="both"/>
      </w:pPr>
    </w:p>
    <w:p w14:paraId="4D64D4C7" w14:textId="1E8B335C" w:rsidR="00155544" w:rsidRPr="00EA4DFA" w:rsidRDefault="00C14B96" w:rsidP="007169C1">
      <w:pPr>
        <w:jc w:val="both"/>
        <w:rPr>
          <w:b/>
        </w:rPr>
      </w:pPr>
      <w:r w:rsidRPr="00EA4DFA">
        <w:rPr>
          <w:b/>
        </w:rPr>
        <w:t xml:space="preserve">Week </w:t>
      </w:r>
      <w:r w:rsidR="00155544" w:rsidRPr="00EA4DFA">
        <w:rPr>
          <w:b/>
        </w:rPr>
        <w:t>7, May 4</w:t>
      </w:r>
    </w:p>
    <w:p w14:paraId="43E364FC" w14:textId="4FF0366D" w:rsidR="00C14B96" w:rsidRPr="00EA4DFA" w:rsidRDefault="00C14B96" w:rsidP="007169C1">
      <w:pPr>
        <w:jc w:val="both"/>
        <w:rPr>
          <w:b/>
        </w:rPr>
      </w:pPr>
      <w:r w:rsidRPr="00EA4DFA">
        <w:rPr>
          <w:b/>
        </w:rPr>
        <w:t xml:space="preserve">Émigré Milieu and Diasporas </w:t>
      </w:r>
    </w:p>
    <w:p w14:paraId="05A5E7E0" w14:textId="77777777" w:rsidR="00C14B96" w:rsidRPr="00EA4DFA" w:rsidRDefault="00C14B96" w:rsidP="007169C1">
      <w:pPr>
        <w:jc w:val="both"/>
      </w:pPr>
    </w:p>
    <w:p w14:paraId="54248BE7" w14:textId="0978C8D7" w:rsidR="00933645" w:rsidRPr="00EA4DFA" w:rsidRDefault="00933645" w:rsidP="007169C1">
      <w:pPr>
        <w:jc w:val="both"/>
      </w:pPr>
      <w:r w:rsidRPr="00EA4DFA">
        <w:t xml:space="preserve">Louise Nalbandian, </w:t>
      </w:r>
      <w:r w:rsidRPr="00EA4DFA">
        <w:rPr>
          <w:i/>
        </w:rPr>
        <w:t>The Armenian Revolutionary Movement: The Development of Armenian Political Parties through the Nineteenth Century</w:t>
      </w:r>
      <w:r w:rsidRPr="00EA4DFA">
        <w:t xml:space="preserve"> (Berkeley: University of California Press, 1963) pp. 104-31. </w:t>
      </w:r>
    </w:p>
    <w:p w14:paraId="5D025DA8" w14:textId="77777777" w:rsidR="00C14B96" w:rsidRPr="00EA4DFA" w:rsidRDefault="00C14B96" w:rsidP="007169C1">
      <w:pPr>
        <w:jc w:val="both"/>
      </w:pPr>
    </w:p>
    <w:p w14:paraId="4A4BB74C" w14:textId="11660E6E" w:rsidR="00C14B96" w:rsidRPr="00EA4DFA" w:rsidRDefault="009669C9" w:rsidP="007169C1">
      <w:pPr>
        <w:jc w:val="both"/>
      </w:pPr>
      <w:r w:rsidRPr="00EA4DFA">
        <w:t xml:space="preserve">Keith Brown, </w:t>
      </w:r>
      <w:r w:rsidRPr="00EA4DFA">
        <w:rPr>
          <w:i/>
          <w:iCs/>
        </w:rPr>
        <w:t>Loyal unto Death: Trust and Terror in Revolutionary Macedonia</w:t>
      </w:r>
      <w:r w:rsidRPr="00EA4DFA">
        <w:t xml:space="preserve"> (Bloomington: Indiana University Press, 2013) pp. 41-69.</w:t>
      </w:r>
    </w:p>
    <w:p w14:paraId="4D51B5A3" w14:textId="77777777" w:rsidR="00155544" w:rsidRPr="00EA4DFA" w:rsidRDefault="00155544" w:rsidP="00933645">
      <w:pPr>
        <w:pStyle w:val="NoSpacing"/>
      </w:pPr>
    </w:p>
    <w:p w14:paraId="2F53C999" w14:textId="2F2A0256" w:rsidR="00933645" w:rsidRPr="00EA4DFA" w:rsidRDefault="00933645" w:rsidP="00933645">
      <w:pPr>
        <w:jc w:val="both"/>
        <w:rPr>
          <w:u w:val="single"/>
        </w:rPr>
      </w:pPr>
      <w:r w:rsidRPr="00EA4DFA">
        <w:rPr>
          <w:u w:val="single"/>
        </w:rPr>
        <w:t>Optional Readings</w:t>
      </w:r>
    </w:p>
    <w:p w14:paraId="79A85B81" w14:textId="77777777" w:rsidR="00A85CA7" w:rsidRPr="00EA4DFA" w:rsidRDefault="00A85CA7" w:rsidP="00933645">
      <w:pPr>
        <w:jc w:val="both"/>
        <w:rPr>
          <w:u w:val="single"/>
        </w:rPr>
      </w:pPr>
    </w:p>
    <w:p w14:paraId="2FC31401" w14:textId="47FB1581" w:rsidR="00D32816" w:rsidRPr="00EA4DFA" w:rsidRDefault="00D32816" w:rsidP="00155544">
      <w:pPr>
        <w:pStyle w:val="NoSpacing"/>
        <w:jc w:val="both"/>
        <w:rPr>
          <w:rFonts w:ascii="Times New Roman" w:hAnsi="Times New Roman" w:cs="Times New Roman"/>
        </w:rPr>
      </w:pPr>
      <w:r w:rsidRPr="00EA4DFA">
        <w:rPr>
          <w:rFonts w:ascii="Times New Roman" w:hAnsi="Times New Roman" w:cs="Times New Roman"/>
        </w:rPr>
        <w:t xml:space="preserve">Isa Blumi, ‘Publishers, Hitmen, Diplomats, and Dreamers: Switzerland’s Ottoman-Albanian Diaspora, 1899-1920’, in </w:t>
      </w:r>
      <w:r w:rsidRPr="00EA4DFA">
        <w:rPr>
          <w:rFonts w:ascii="Times New Roman" w:hAnsi="Times New Roman" w:cs="Times New Roman"/>
          <w:i/>
        </w:rPr>
        <w:t>Schweizerische Zeitschrift für Geschichte = Revue suisse d’histoire = Rivista storica svizzera</w:t>
      </w:r>
      <w:r w:rsidRPr="00EA4DFA">
        <w:rPr>
          <w:rFonts w:ascii="Times New Roman" w:hAnsi="Times New Roman" w:cs="Times New Roman"/>
        </w:rPr>
        <w:t xml:space="preserve"> 52 (2002)</w:t>
      </w:r>
      <w:r w:rsidR="001554E3">
        <w:rPr>
          <w:rFonts w:ascii="Times New Roman" w:hAnsi="Times New Roman" w:cs="Times New Roman"/>
        </w:rPr>
        <w:t xml:space="preserve"> pp.</w:t>
      </w:r>
      <w:r w:rsidRPr="00EA4DFA">
        <w:rPr>
          <w:rFonts w:ascii="Times New Roman" w:hAnsi="Times New Roman" w:cs="Times New Roman"/>
        </w:rPr>
        <w:t xml:space="preserve"> 309-320.</w:t>
      </w:r>
    </w:p>
    <w:p w14:paraId="4C8EA9A7" w14:textId="77777777" w:rsidR="00D32816" w:rsidRPr="00EA4DFA" w:rsidRDefault="00D32816" w:rsidP="00155544">
      <w:pPr>
        <w:pStyle w:val="NoSpacing"/>
        <w:jc w:val="both"/>
        <w:rPr>
          <w:rFonts w:ascii="Times New Roman" w:hAnsi="Times New Roman" w:cs="Times New Roman"/>
        </w:rPr>
      </w:pPr>
    </w:p>
    <w:p w14:paraId="23A27740" w14:textId="77777777" w:rsidR="00102615" w:rsidRPr="00EA4DFA" w:rsidRDefault="00102615" w:rsidP="00102615">
      <w:pPr>
        <w:jc w:val="both"/>
      </w:pPr>
      <w:r w:rsidRPr="00EA4DFA">
        <w:t xml:space="preserve">Davit Gutman, “Migrants, Revolutionaries, and Spies: Surveillance, Politics, and Ottoman Identity in the United States,” in </w:t>
      </w:r>
      <w:r w:rsidRPr="00EA4DFA">
        <w:rPr>
          <w:i/>
        </w:rPr>
        <w:t>Living in the Ottoman Realm: Empire and Identity, 13</w:t>
      </w:r>
      <w:r w:rsidRPr="00EA4DFA">
        <w:rPr>
          <w:i/>
          <w:vertAlign w:val="superscript"/>
        </w:rPr>
        <w:t>th</w:t>
      </w:r>
      <w:r w:rsidRPr="00EA4DFA">
        <w:rPr>
          <w:i/>
        </w:rPr>
        <w:t xml:space="preserve"> to 20</w:t>
      </w:r>
      <w:r w:rsidRPr="00EA4DFA">
        <w:rPr>
          <w:i/>
          <w:vertAlign w:val="superscript"/>
        </w:rPr>
        <w:t>th</w:t>
      </w:r>
      <w:r w:rsidRPr="00EA4DFA">
        <w:rPr>
          <w:i/>
        </w:rPr>
        <w:t xml:space="preserve"> Centuries</w:t>
      </w:r>
      <w:r w:rsidRPr="00EA4DFA">
        <w:t>, eds. Christine Isom-Verhaaren and Kent F. Schull (Bloomington: Indiana University Press, 2016) pp. 284-96.</w:t>
      </w:r>
    </w:p>
    <w:p w14:paraId="50DDD0C7" w14:textId="77777777" w:rsidR="00523E02" w:rsidRPr="00EA4DFA" w:rsidRDefault="00523E02" w:rsidP="00933645">
      <w:pPr>
        <w:pStyle w:val="NoSpacing"/>
      </w:pPr>
    </w:p>
    <w:p w14:paraId="31D48173" w14:textId="5A78CA11" w:rsidR="00155544" w:rsidRPr="00EA4DFA" w:rsidRDefault="006256CB" w:rsidP="007169C1">
      <w:pPr>
        <w:jc w:val="both"/>
        <w:rPr>
          <w:b/>
        </w:rPr>
      </w:pPr>
      <w:r w:rsidRPr="00EA4DFA">
        <w:rPr>
          <w:b/>
        </w:rPr>
        <w:t xml:space="preserve">Week </w:t>
      </w:r>
      <w:r w:rsidR="00155544" w:rsidRPr="00EA4DFA">
        <w:rPr>
          <w:b/>
        </w:rPr>
        <w:t>8, May 18</w:t>
      </w:r>
    </w:p>
    <w:p w14:paraId="40204D23" w14:textId="0E3B0754" w:rsidR="006256CB" w:rsidRPr="00EA4DFA" w:rsidRDefault="006256CB" w:rsidP="007169C1">
      <w:pPr>
        <w:jc w:val="both"/>
        <w:rPr>
          <w:b/>
        </w:rPr>
      </w:pPr>
      <w:r w:rsidRPr="00EA4DFA">
        <w:rPr>
          <w:b/>
        </w:rPr>
        <w:t>Global Economy</w:t>
      </w:r>
      <w:r w:rsidR="00705A17" w:rsidRPr="00EA4DFA">
        <w:rPr>
          <w:b/>
        </w:rPr>
        <w:t xml:space="preserve"> of Discontent</w:t>
      </w:r>
    </w:p>
    <w:p w14:paraId="64C9E894" w14:textId="77777777" w:rsidR="004255B9" w:rsidRPr="00EA4DFA" w:rsidRDefault="004255B9" w:rsidP="007169C1">
      <w:pPr>
        <w:jc w:val="both"/>
      </w:pPr>
    </w:p>
    <w:p w14:paraId="414078E3" w14:textId="498126C9" w:rsidR="006256CB" w:rsidRPr="00EA4DFA" w:rsidRDefault="006256CB" w:rsidP="007169C1">
      <w:pPr>
        <w:jc w:val="both"/>
      </w:pPr>
      <w:r w:rsidRPr="00EA4DFA">
        <w:t xml:space="preserve">Tasos Kostopoulos, ‘“Land to the Tiller”: On the Neglected Agrarian Component of the Macedonian Revolutionary Movement, 1893-1912’, </w:t>
      </w:r>
      <w:r w:rsidRPr="00EA4DFA">
        <w:rPr>
          <w:i/>
        </w:rPr>
        <w:t>Turkish Historical Review</w:t>
      </w:r>
      <w:r w:rsidRPr="00EA4DFA">
        <w:t>, 7 (2016)</w:t>
      </w:r>
      <w:r w:rsidR="001554E3">
        <w:t xml:space="preserve"> pp</w:t>
      </w:r>
      <w:r w:rsidRPr="00EA4DFA">
        <w:t>.</w:t>
      </w:r>
      <w:r w:rsidR="007A22EE">
        <w:t xml:space="preserve"> 134-66.</w:t>
      </w:r>
    </w:p>
    <w:p w14:paraId="7A977E0A" w14:textId="20CB3CB2" w:rsidR="00826033" w:rsidRPr="00EA4DFA" w:rsidRDefault="00826033" w:rsidP="007169C1">
      <w:pPr>
        <w:jc w:val="both"/>
      </w:pPr>
    </w:p>
    <w:p w14:paraId="2FE44445" w14:textId="3BFEF9EF" w:rsidR="00826033" w:rsidRPr="00EA4DFA" w:rsidRDefault="00826033" w:rsidP="007169C1">
      <w:pPr>
        <w:jc w:val="both"/>
      </w:pPr>
      <w:r w:rsidRPr="00EA4DFA">
        <w:t xml:space="preserve">Ilham Khuri-Makdisi, </w:t>
      </w:r>
      <w:r w:rsidRPr="00EA4DFA">
        <w:rPr>
          <w:i/>
          <w:iCs/>
        </w:rPr>
        <w:t>The Eastern Mediterranean and the Making of Global Radicalism, 1860-1914</w:t>
      </w:r>
      <w:r w:rsidRPr="00EA4DFA">
        <w:t xml:space="preserve"> (Berkeley: University of California Press, 2010) pp. 135-64.</w:t>
      </w:r>
    </w:p>
    <w:p w14:paraId="29D32218" w14:textId="23CFC990" w:rsidR="004255B9" w:rsidRPr="00EA4DFA" w:rsidRDefault="004255B9" w:rsidP="007169C1">
      <w:pPr>
        <w:jc w:val="both"/>
      </w:pPr>
    </w:p>
    <w:p w14:paraId="30741664" w14:textId="77777777" w:rsidR="00810720" w:rsidRPr="00EA4DFA" w:rsidRDefault="00810720" w:rsidP="00810720">
      <w:pPr>
        <w:jc w:val="both"/>
        <w:rPr>
          <w:u w:val="single"/>
        </w:rPr>
      </w:pPr>
      <w:r w:rsidRPr="00EA4DFA">
        <w:rPr>
          <w:u w:val="single"/>
        </w:rPr>
        <w:t>Optional Readings</w:t>
      </w:r>
    </w:p>
    <w:p w14:paraId="757460CB" w14:textId="708BB9A4" w:rsidR="004255B9" w:rsidRPr="00EA4DFA" w:rsidRDefault="004255B9" w:rsidP="007169C1">
      <w:pPr>
        <w:jc w:val="both"/>
      </w:pPr>
    </w:p>
    <w:p w14:paraId="1BFB0DCA" w14:textId="7A4C1580" w:rsidR="004255B9" w:rsidRPr="00EA4DFA" w:rsidRDefault="00826033" w:rsidP="007169C1">
      <w:pPr>
        <w:jc w:val="both"/>
      </w:pPr>
      <w:r w:rsidRPr="00EA4DFA">
        <w:t xml:space="preserve">Varak Ketsemanian, “The Hunchakian Revolutionary Party and the Assassination Attempts against Patriarch Khoren Ashekian and Maksudzade Simon Bey in 1894,” in </w:t>
      </w:r>
      <w:r w:rsidRPr="00EA4DFA">
        <w:rPr>
          <w:i/>
        </w:rPr>
        <w:t>IJMES</w:t>
      </w:r>
      <w:r w:rsidRPr="00EA4DFA">
        <w:t>, 50 (2018) pp. 735-55.</w:t>
      </w:r>
    </w:p>
    <w:p w14:paraId="53E1DB9D" w14:textId="1AB309A7" w:rsidR="00613A28" w:rsidRPr="00EA4DFA" w:rsidRDefault="00613A28" w:rsidP="007169C1">
      <w:pPr>
        <w:jc w:val="both"/>
      </w:pPr>
    </w:p>
    <w:p w14:paraId="3DF24727" w14:textId="77777777" w:rsidR="00FE2CAF" w:rsidRPr="00EA4DFA" w:rsidRDefault="00FE2CAF" w:rsidP="00FE2CAF">
      <w:pPr>
        <w:jc w:val="both"/>
      </w:pPr>
      <w:r w:rsidRPr="00EA4DFA">
        <w:t xml:space="preserve">Nadir Özbek, “The Politics of Taxation and the ‘Armenian Question’ during the Late Ottoman Empire, 1876-1908,” in </w:t>
      </w:r>
      <w:r w:rsidRPr="00EA4DFA">
        <w:rPr>
          <w:i/>
        </w:rPr>
        <w:t>Comparative Studies in Society and History</w:t>
      </w:r>
      <w:r w:rsidRPr="00EA4DFA">
        <w:t>, 54:4 (Sept. 2012) pp. 770-97.</w:t>
      </w:r>
    </w:p>
    <w:p w14:paraId="221CA630" w14:textId="77777777" w:rsidR="006256CB" w:rsidRPr="00EA4DFA" w:rsidRDefault="006256CB" w:rsidP="007169C1">
      <w:pPr>
        <w:jc w:val="both"/>
      </w:pPr>
    </w:p>
    <w:p w14:paraId="24BF3342" w14:textId="6F573C38" w:rsidR="00155544" w:rsidRPr="00EA4DFA" w:rsidRDefault="00C14B96" w:rsidP="007169C1">
      <w:pPr>
        <w:jc w:val="both"/>
        <w:rPr>
          <w:b/>
        </w:rPr>
      </w:pPr>
      <w:r w:rsidRPr="00EA4DFA">
        <w:rPr>
          <w:b/>
        </w:rPr>
        <w:t xml:space="preserve">Week </w:t>
      </w:r>
      <w:r w:rsidR="00155544" w:rsidRPr="00EA4DFA">
        <w:rPr>
          <w:b/>
        </w:rPr>
        <w:t>9, May 25</w:t>
      </w:r>
    </w:p>
    <w:p w14:paraId="21EE89A4" w14:textId="30621F65" w:rsidR="00C14B96" w:rsidRPr="00EA4DFA" w:rsidRDefault="00460602" w:rsidP="007169C1">
      <w:pPr>
        <w:jc w:val="both"/>
        <w:rPr>
          <w:b/>
        </w:rPr>
      </w:pPr>
      <w:r w:rsidRPr="00EA4DFA">
        <w:rPr>
          <w:b/>
        </w:rPr>
        <w:t>New Tools, New Tactics</w:t>
      </w:r>
    </w:p>
    <w:p w14:paraId="46F1D479" w14:textId="77777777" w:rsidR="00A85CA7" w:rsidRPr="00EA4DFA" w:rsidRDefault="00A85CA7" w:rsidP="007169C1">
      <w:pPr>
        <w:jc w:val="both"/>
      </w:pPr>
    </w:p>
    <w:p w14:paraId="00A21D98" w14:textId="789DCCD7" w:rsidR="00F2482D" w:rsidRPr="00EA4DFA" w:rsidRDefault="00F2482D" w:rsidP="00D6759A">
      <w:pPr>
        <w:jc w:val="both"/>
      </w:pPr>
      <w:r w:rsidRPr="00EA4DFA">
        <w:t xml:space="preserve">Niall Whelehan, </w:t>
      </w:r>
      <w:r w:rsidRPr="00EA4DFA">
        <w:rPr>
          <w:i/>
        </w:rPr>
        <w:t>The Dynamiters: Irish Nationalism and Political Violence in the Wider World, 1867-1900</w:t>
      </w:r>
      <w:r w:rsidRPr="00EA4DFA">
        <w:t xml:space="preserve"> (</w:t>
      </w:r>
      <w:r w:rsidR="0095214E" w:rsidRPr="00EA4DFA">
        <w:t>New York: Cambridge University Press, 2012</w:t>
      </w:r>
      <w:r w:rsidRPr="00EA4DFA">
        <w:t>) pp. 27-69.</w:t>
      </w:r>
    </w:p>
    <w:p w14:paraId="4C307BD7" w14:textId="77777777" w:rsidR="00C14B96" w:rsidRPr="00EA4DFA" w:rsidRDefault="00C14B96" w:rsidP="007169C1">
      <w:pPr>
        <w:jc w:val="both"/>
        <w:rPr>
          <w:iCs/>
        </w:rPr>
      </w:pPr>
    </w:p>
    <w:p w14:paraId="0F5CF9EA" w14:textId="58C83FED" w:rsidR="00C14B96" w:rsidRPr="00EA4DFA" w:rsidRDefault="00C14B96" w:rsidP="007169C1">
      <w:pPr>
        <w:jc w:val="both"/>
        <w:rPr>
          <w:noProof/>
        </w:rPr>
      </w:pPr>
      <w:r w:rsidRPr="00EA4DFA">
        <w:t xml:space="preserve">Ramazan Hakkı Öztan, </w:t>
      </w:r>
      <w:r w:rsidRPr="00EA4DFA">
        <w:rPr>
          <w:noProof/>
        </w:rPr>
        <w:t xml:space="preserve">“Tools of Revolution: Global Military Surplus, Arms Dealers, and Smugglers in the Late Ottoman Balkans, 1878–1908,” </w:t>
      </w:r>
      <w:r w:rsidR="00021953">
        <w:rPr>
          <w:noProof/>
        </w:rPr>
        <w:t xml:space="preserve">in </w:t>
      </w:r>
      <w:r w:rsidRPr="00EA4DFA">
        <w:rPr>
          <w:i/>
          <w:noProof/>
        </w:rPr>
        <w:t>Past &amp; Present</w:t>
      </w:r>
      <w:r w:rsidRPr="00EA4DFA">
        <w:rPr>
          <w:noProof/>
        </w:rPr>
        <w:t xml:space="preserve"> 237</w:t>
      </w:r>
      <w:r w:rsidR="00021953">
        <w:rPr>
          <w:noProof/>
        </w:rPr>
        <w:t>:</w:t>
      </w:r>
      <w:r w:rsidRPr="00EA4DFA">
        <w:rPr>
          <w:noProof/>
        </w:rPr>
        <w:t>1 (2017)</w:t>
      </w:r>
      <w:r w:rsidR="006669AC">
        <w:rPr>
          <w:noProof/>
        </w:rPr>
        <w:t xml:space="preserve"> pp.</w:t>
      </w:r>
      <w:r w:rsidRPr="00EA4DFA">
        <w:rPr>
          <w:noProof/>
        </w:rPr>
        <w:t xml:space="preserve"> 167-95.</w:t>
      </w:r>
    </w:p>
    <w:p w14:paraId="753E35FB" w14:textId="77777777" w:rsidR="00A85CA7" w:rsidRPr="00EA4DFA" w:rsidRDefault="00A85CA7" w:rsidP="00A85CA7">
      <w:pPr>
        <w:jc w:val="both"/>
        <w:rPr>
          <w:u w:val="single"/>
        </w:rPr>
      </w:pPr>
    </w:p>
    <w:p w14:paraId="0E2EFFDD" w14:textId="77777777" w:rsidR="00AE3FD6" w:rsidRDefault="00AE3FD6" w:rsidP="00A85CA7">
      <w:pPr>
        <w:jc w:val="both"/>
        <w:rPr>
          <w:u w:val="single"/>
        </w:rPr>
      </w:pPr>
    </w:p>
    <w:p w14:paraId="777755BF" w14:textId="510028ED" w:rsidR="00A85CA7" w:rsidRPr="00EA4DFA" w:rsidRDefault="00A85CA7" w:rsidP="00A85CA7">
      <w:pPr>
        <w:jc w:val="both"/>
        <w:rPr>
          <w:u w:val="single"/>
        </w:rPr>
      </w:pPr>
      <w:r w:rsidRPr="00EA4DFA">
        <w:rPr>
          <w:u w:val="single"/>
        </w:rPr>
        <w:t>Optional Readings</w:t>
      </w:r>
    </w:p>
    <w:p w14:paraId="0DC063BC" w14:textId="28BEE516" w:rsidR="00F2482D" w:rsidRPr="00EA4DFA" w:rsidRDefault="00F2482D" w:rsidP="00D6759A">
      <w:pPr>
        <w:jc w:val="both"/>
      </w:pPr>
    </w:p>
    <w:p w14:paraId="76AD2CEB" w14:textId="2367C6F6" w:rsidR="007D77E7" w:rsidRPr="00EA4DFA" w:rsidRDefault="007D77E7" w:rsidP="007D77E7">
      <w:pPr>
        <w:jc w:val="both"/>
      </w:pPr>
      <w:r w:rsidRPr="00EA4DFA">
        <w:t>Richard Jensen,</w:t>
      </w:r>
      <w:r w:rsidRPr="00EA4DFA">
        <w:rPr>
          <w:i/>
          <w:iCs/>
        </w:rPr>
        <w:t xml:space="preserve"> The Battle against Anarchist Terrorism: An International History, 1878-1934</w:t>
      </w:r>
      <w:r w:rsidRPr="00EA4DFA">
        <w:t xml:space="preserve"> (Cambridge: Cambridge University Press, 2014) pp. 6-36.</w:t>
      </w:r>
    </w:p>
    <w:p w14:paraId="4616D288" w14:textId="77777777" w:rsidR="00D6759A" w:rsidRPr="00EA4DFA" w:rsidRDefault="00D6759A" w:rsidP="00A85CA7">
      <w:pPr>
        <w:jc w:val="both"/>
      </w:pPr>
    </w:p>
    <w:p w14:paraId="2DE002E4" w14:textId="40F9C71D" w:rsidR="00261EF9" w:rsidRDefault="007D77E7" w:rsidP="007169C1">
      <w:pPr>
        <w:jc w:val="both"/>
      </w:pPr>
      <w:r>
        <w:t xml:space="preserve">Yin Cao, “Bombs in Beijing and Delhi: The Global Spread of Bomb-Making Technology and the Revolutionary Terrorism in Modern China and India,” in </w:t>
      </w:r>
      <w:r w:rsidRPr="00A26E94">
        <w:rPr>
          <w:i/>
        </w:rPr>
        <w:t>Journal of World History</w:t>
      </w:r>
      <w:r>
        <w:t>, 30:4 (Dec. 2019) pp. 559-89.</w:t>
      </w:r>
    </w:p>
    <w:p w14:paraId="49587282" w14:textId="77777777" w:rsidR="007D77E7" w:rsidRPr="00EA4DFA" w:rsidRDefault="007D77E7" w:rsidP="007169C1">
      <w:pPr>
        <w:jc w:val="both"/>
        <w:rPr>
          <w:b/>
        </w:rPr>
      </w:pPr>
    </w:p>
    <w:p w14:paraId="6AE9D4A5" w14:textId="783D4662" w:rsidR="00155544" w:rsidRPr="00EA4DFA" w:rsidRDefault="00261EF9" w:rsidP="007169C1">
      <w:pPr>
        <w:jc w:val="both"/>
        <w:rPr>
          <w:b/>
        </w:rPr>
      </w:pPr>
      <w:r w:rsidRPr="00EA4DFA">
        <w:rPr>
          <w:b/>
        </w:rPr>
        <w:t>Week</w:t>
      </w:r>
      <w:r w:rsidR="004255B9" w:rsidRPr="00EA4DFA">
        <w:rPr>
          <w:b/>
        </w:rPr>
        <w:t xml:space="preserve"> 10</w:t>
      </w:r>
      <w:r w:rsidR="00155544" w:rsidRPr="00EA4DFA">
        <w:rPr>
          <w:b/>
        </w:rPr>
        <w:t xml:space="preserve">, </w:t>
      </w:r>
      <w:r w:rsidR="004255B9" w:rsidRPr="00EA4DFA">
        <w:rPr>
          <w:b/>
        </w:rPr>
        <w:t>June 1</w:t>
      </w:r>
    </w:p>
    <w:p w14:paraId="621786C4" w14:textId="756763A0" w:rsidR="00261EF9" w:rsidRPr="00EA4DFA" w:rsidRDefault="0031712A" w:rsidP="007169C1">
      <w:pPr>
        <w:jc w:val="both"/>
        <w:rPr>
          <w:b/>
        </w:rPr>
      </w:pPr>
      <w:r w:rsidRPr="00EA4DFA">
        <w:rPr>
          <w:b/>
        </w:rPr>
        <w:t>Connected Revolutionaries</w:t>
      </w:r>
      <w:r w:rsidR="00543F37" w:rsidRPr="00EA4DFA">
        <w:rPr>
          <w:b/>
        </w:rPr>
        <w:t>, Connected Revolutions</w:t>
      </w:r>
    </w:p>
    <w:p w14:paraId="439AC9DE" w14:textId="77777777" w:rsidR="00543F37" w:rsidRPr="00EA4DFA" w:rsidRDefault="00543F37" w:rsidP="0031712A">
      <w:pPr>
        <w:jc w:val="both"/>
      </w:pPr>
    </w:p>
    <w:p w14:paraId="28EB60FA" w14:textId="6D43BC01" w:rsidR="00293454" w:rsidRDefault="00293454" w:rsidP="007169C1">
      <w:pPr>
        <w:jc w:val="both"/>
      </w:pPr>
      <w:r>
        <w:t xml:space="preserve">Şükrü Hanioğlu, </w:t>
      </w:r>
      <w:r w:rsidRPr="002978F4">
        <w:rPr>
          <w:i/>
        </w:rPr>
        <w:t>Preparation for a Revolution: The Young Turks, 1902-1908</w:t>
      </w:r>
      <w:r>
        <w:t xml:space="preserve"> (Oxford: Oxford University Press, 2001) pp. 210-78.</w:t>
      </w:r>
    </w:p>
    <w:p w14:paraId="766F6971" w14:textId="77777777" w:rsidR="00293454" w:rsidRDefault="00293454" w:rsidP="007169C1">
      <w:pPr>
        <w:jc w:val="both"/>
      </w:pPr>
    </w:p>
    <w:p w14:paraId="2192933D" w14:textId="740A170A" w:rsidR="00543F37" w:rsidRPr="00EA4DFA" w:rsidRDefault="00293454" w:rsidP="007169C1">
      <w:pPr>
        <w:jc w:val="both"/>
      </w:pPr>
      <w:r w:rsidRPr="00EA4DFA">
        <w:t xml:space="preserve">Houri Berberian, </w:t>
      </w:r>
      <w:r w:rsidRPr="00EA4DFA">
        <w:rPr>
          <w:i/>
          <w:iCs/>
        </w:rPr>
        <w:t>Roving Revolutionaries: Armenians and the Connected Revolutions in the Russian, Iranian, and Ottoman Worlds</w:t>
      </w:r>
      <w:r w:rsidRPr="00EA4DFA">
        <w:t xml:space="preserve"> (Oakland: University of California Press, 2019) pp. 47-105.</w:t>
      </w:r>
    </w:p>
    <w:p w14:paraId="7ACABC8C" w14:textId="77777777" w:rsidR="00543F37" w:rsidRPr="00EA4DFA" w:rsidRDefault="00543F37" w:rsidP="007169C1">
      <w:pPr>
        <w:jc w:val="both"/>
      </w:pPr>
    </w:p>
    <w:p w14:paraId="47CA6784" w14:textId="77777777" w:rsidR="00D64A33" w:rsidRPr="00EA4DFA" w:rsidRDefault="00D64A33" w:rsidP="00D64A33">
      <w:pPr>
        <w:jc w:val="both"/>
        <w:rPr>
          <w:u w:val="single"/>
        </w:rPr>
      </w:pPr>
      <w:r w:rsidRPr="00EA4DFA">
        <w:rPr>
          <w:u w:val="single"/>
        </w:rPr>
        <w:t>Optional Readings</w:t>
      </w:r>
    </w:p>
    <w:p w14:paraId="3DAE5C33" w14:textId="77777777" w:rsidR="00543F37" w:rsidRPr="00EA4DFA" w:rsidRDefault="00543F37" w:rsidP="00543F37">
      <w:pPr>
        <w:jc w:val="both"/>
        <w:rPr>
          <w:b/>
        </w:rPr>
      </w:pPr>
    </w:p>
    <w:p w14:paraId="1335485C" w14:textId="4222E27A" w:rsidR="00416488" w:rsidRDefault="00416488" w:rsidP="00416488">
      <w:pPr>
        <w:jc w:val="both"/>
      </w:pPr>
      <w:r w:rsidRPr="00DA2466">
        <w:t xml:space="preserve">Erik Jan Zürcher, </w:t>
      </w:r>
      <w:r>
        <w:t>“</w:t>
      </w:r>
      <w:r w:rsidRPr="00DA2466">
        <w:t>The Young Turk Revolution: Comparisons and Connections,</w:t>
      </w:r>
      <w:r>
        <w:t>” in</w:t>
      </w:r>
      <w:r w:rsidRPr="00DA2466">
        <w:t xml:space="preserve"> </w:t>
      </w:r>
      <w:r w:rsidRPr="00DA2466">
        <w:rPr>
          <w:i/>
          <w:iCs/>
        </w:rPr>
        <w:t>Middle Eastern Studies</w:t>
      </w:r>
      <w:r w:rsidRPr="00DA2466">
        <w:t xml:space="preserve"> 55:4 (2019) </w:t>
      </w:r>
      <w:r>
        <w:t xml:space="preserve">pp. </w:t>
      </w:r>
      <w:r w:rsidRPr="00DA2466">
        <w:t>481–98.</w:t>
      </w:r>
    </w:p>
    <w:p w14:paraId="38566DE8" w14:textId="77777777" w:rsidR="003F56DA" w:rsidRPr="00EA4DFA" w:rsidRDefault="003F56DA" w:rsidP="00543F37">
      <w:pPr>
        <w:jc w:val="both"/>
        <w:rPr>
          <w:noProof/>
        </w:rPr>
      </w:pPr>
    </w:p>
    <w:p w14:paraId="6F4FBCA8" w14:textId="2D37CF7E" w:rsidR="00C23A94" w:rsidRPr="00EA4DFA" w:rsidRDefault="00543F37" w:rsidP="00543F37">
      <w:pPr>
        <w:jc w:val="both"/>
        <w:rPr>
          <w:noProof/>
        </w:rPr>
      </w:pPr>
      <w:r w:rsidRPr="00EA4DFA">
        <w:rPr>
          <w:noProof/>
        </w:rPr>
        <w:t xml:space="preserve">Ramazan Hakkı Öztan, “Chemistry of Revolution: Naum Tyufekchiev (1864-1916) and the Networks of Revolutionary Violence in the Late Ottoman Europe,” in </w:t>
      </w:r>
      <w:r w:rsidRPr="00EA4DFA">
        <w:rPr>
          <w:i/>
          <w:noProof/>
        </w:rPr>
        <w:t>Age of Rogues: Rebels, Revolutionaries and Racketeers at the Frontiers of Empires</w:t>
      </w:r>
      <w:r w:rsidRPr="00EA4DFA">
        <w:rPr>
          <w:noProof/>
        </w:rPr>
        <w:t>, eds. Ramazan Hakkı Öztan and Alp Yenen (Edinburgh: Edinburgh University Press, 2021) pp. 261-301.</w:t>
      </w:r>
    </w:p>
    <w:p w14:paraId="6656E8AD" w14:textId="77777777" w:rsidR="00543F37" w:rsidRPr="00EA4DFA" w:rsidRDefault="00543F37" w:rsidP="007169C1">
      <w:pPr>
        <w:jc w:val="both"/>
        <w:rPr>
          <w:b/>
        </w:rPr>
      </w:pPr>
    </w:p>
    <w:p w14:paraId="084B6419" w14:textId="186C1246" w:rsidR="004255B9" w:rsidRPr="00EA4DFA" w:rsidRDefault="006A7EC5" w:rsidP="007169C1">
      <w:pPr>
        <w:jc w:val="both"/>
        <w:rPr>
          <w:b/>
        </w:rPr>
      </w:pPr>
      <w:r w:rsidRPr="00EA4DFA">
        <w:rPr>
          <w:b/>
        </w:rPr>
        <w:t>Week</w:t>
      </w:r>
      <w:r w:rsidR="004255B9" w:rsidRPr="00EA4DFA">
        <w:rPr>
          <w:b/>
        </w:rPr>
        <w:t xml:space="preserve"> 11, June 8</w:t>
      </w:r>
    </w:p>
    <w:p w14:paraId="5F77CA3B" w14:textId="11E57B02" w:rsidR="0031712A" w:rsidRPr="00EA4DFA" w:rsidRDefault="00B8721B" w:rsidP="007169C1">
      <w:pPr>
        <w:jc w:val="both"/>
        <w:rPr>
          <w:b/>
        </w:rPr>
      </w:pPr>
      <w:r w:rsidRPr="00EA4DFA">
        <w:rPr>
          <w:b/>
        </w:rPr>
        <w:t>Revolutionary Paths out of Empire</w:t>
      </w:r>
    </w:p>
    <w:p w14:paraId="772D0DD5" w14:textId="77777777" w:rsidR="00A11A33" w:rsidRPr="00EA4DFA" w:rsidRDefault="00A11A33" w:rsidP="00B8721B">
      <w:pPr>
        <w:jc w:val="both"/>
      </w:pPr>
    </w:p>
    <w:p w14:paraId="0CF6231E" w14:textId="77777777" w:rsidR="00103086" w:rsidRPr="00EA4DFA" w:rsidRDefault="00103086" w:rsidP="00103086">
      <w:pPr>
        <w:jc w:val="both"/>
      </w:pPr>
      <w:r w:rsidRPr="00EA4DFA">
        <w:t>Benjamin C. Fortna, “Late-Ottoman ‘Rogues’ and their Paths to Power: A Prosopographic Study,” in</w:t>
      </w:r>
      <w:r w:rsidRPr="00EA4DFA">
        <w:rPr>
          <w:i/>
          <w:noProof/>
        </w:rPr>
        <w:t xml:space="preserve"> Age of Rogues: Rebels, Revolutionaries and Racketeers at the Frontiers of Empires</w:t>
      </w:r>
      <w:r w:rsidRPr="00EA4DFA">
        <w:rPr>
          <w:noProof/>
        </w:rPr>
        <w:t>, eds. Ramazan Hakkı Öztan and Alp Yenen (Edinburgh: Edinburgh University Press, 2021) pp. 302-32.</w:t>
      </w:r>
    </w:p>
    <w:p w14:paraId="3035DC4A" w14:textId="77777777" w:rsidR="00C13BFF" w:rsidRPr="00EA4DFA" w:rsidRDefault="00C13BFF" w:rsidP="00C13BFF"/>
    <w:p w14:paraId="5686F220" w14:textId="399FCC2B" w:rsidR="00C13BFF" w:rsidRPr="00EA4DFA" w:rsidRDefault="00C13BFF" w:rsidP="00C13BFF">
      <w:pPr>
        <w:jc w:val="both"/>
      </w:pPr>
      <w:r w:rsidRPr="00EA4DFA">
        <w:t>Erik-Jan Zürcher, “[Patterns of Young Turk Decision-Making 1913-1915]</w:t>
      </w:r>
      <w:r w:rsidR="00E321F6">
        <w:t>,”</w:t>
      </w:r>
      <w:r w:rsidRPr="00EA4DFA">
        <w:t xml:space="preserve"> in </w:t>
      </w:r>
      <w:r w:rsidRPr="00EA4DFA">
        <w:rPr>
          <w:i/>
          <w:iCs/>
        </w:rPr>
        <w:t>Das Deutsche Reich und die Völkermord and den Armeniern</w:t>
      </w:r>
      <w:r w:rsidRPr="00EA4DFA">
        <w:t>, eds. Rolf Hosfeld and Christin Pschichholz (Göttingen: Wallstein, 2017) pp.</w:t>
      </w:r>
      <w:r w:rsidR="00E7477A">
        <w:t xml:space="preserve"> </w:t>
      </w:r>
      <w:r w:rsidRPr="00EA4DFA">
        <w:t>81–105.</w:t>
      </w:r>
    </w:p>
    <w:p w14:paraId="290361F7" w14:textId="77777777" w:rsidR="00B8721B" w:rsidRPr="00EA4DFA" w:rsidRDefault="00B8721B" w:rsidP="007169C1">
      <w:pPr>
        <w:jc w:val="both"/>
        <w:rPr>
          <w:b/>
        </w:rPr>
      </w:pPr>
    </w:p>
    <w:p w14:paraId="3AF20154" w14:textId="77777777" w:rsidR="00D64A33" w:rsidRPr="00EA4DFA" w:rsidRDefault="00D64A33" w:rsidP="00D64A33">
      <w:pPr>
        <w:jc w:val="both"/>
        <w:rPr>
          <w:u w:val="single"/>
        </w:rPr>
      </w:pPr>
      <w:r w:rsidRPr="00EA4DFA">
        <w:rPr>
          <w:u w:val="single"/>
        </w:rPr>
        <w:lastRenderedPageBreak/>
        <w:t>Optional Readings</w:t>
      </w:r>
    </w:p>
    <w:p w14:paraId="66AF528A" w14:textId="34BD3B98" w:rsidR="00EC2949" w:rsidRPr="00EA4DFA" w:rsidRDefault="00EC2949" w:rsidP="007169C1">
      <w:pPr>
        <w:jc w:val="both"/>
        <w:rPr>
          <w:b/>
        </w:rPr>
      </w:pPr>
    </w:p>
    <w:p w14:paraId="2C840224" w14:textId="77777777" w:rsidR="00103086" w:rsidRPr="00EA4DFA" w:rsidRDefault="00103086" w:rsidP="00103086">
      <w:pPr>
        <w:jc w:val="both"/>
      </w:pPr>
      <w:r w:rsidRPr="00EA4DFA">
        <w:t xml:space="preserve">Alp Yenen, “Envisioning Turco-Arab Co-Existence between Empire and Nationalism,” in </w:t>
      </w:r>
      <w:r w:rsidRPr="00EA4DFA">
        <w:rPr>
          <w:i/>
        </w:rPr>
        <w:t>Die</w:t>
      </w:r>
      <w:r w:rsidRPr="00EA4DFA">
        <w:t xml:space="preserve"> </w:t>
      </w:r>
      <w:r w:rsidRPr="00EA4DFA">
        <w:rPr>
          <w:i/>
        </w:rPr>
        <w:t>Welt des Islams</w:t>
      </w:r>
      <w:r w:rsidRPr="00EA4DFA">
        <w:t>, 61 (2021) pp. 72-112.</w:t>
      </w:r>
    </w:p>
    <w:p w14:paraId="0A3C98E7" w14:textId="0B07683E" w:rsidR="00DC6C99" w:rsidRDefault="00DC6C99" w:rsidP="007169C1">
      <w:pPr>
        <w:jc w:val="both"/>
      </w:pPr>
    </w:p>
    <w:p w14:paraId="3636C986" w14:textId="12CD4B18" w:rsidR="00421EEC" w:rsidRPr="00EA4DFA" w:rsidRDefault="00421EEC" w:rsidP="007169C1">
      <w:pPr>
        <w:jc w:val="both"/>
      </w:pPr>
      <w:r w:rsidRPr="001B66AF">
        <w:t xml:space="preserve">Michael Reynolds, </w:t>
      </w:r>
      <w:r>
        <w:t xml:space="preserve">“Buffers, Not Brethren: Young Turk Military Policy in the First World War and the Myth of Panturanism,” in </w:t>
      </w:r>
      <w:r w:rsidRPr="00021953">
        <w:rPr>
          <w:i/>
        </w:rPr>
        <w:t>Past &amp; Present</w:t>
      </w:r>
      <w:r>
        <w:t>, 203</w:t>
      </w:r>
      <w:r w:rsidR="001A4C6C">
        <w:t>:1</w:t>
      </w:r>
      <w:r>
        <w:t xml:space="preserve"> (May 2009) pp. 137-</w:t>
      </w:r>
      <w:r w:rsidR="00115BAB">
        <w:t>79.</w:t>
      </w:r>
    </w:p>
    <w:p w14:paraId="02BD421E" w14:textId="77777777" w:rsidR="005F7D57" w:rsidRPr="00EA4DFA" w:rsidRDefault="005F7D57" w:rsidP="007169C1">
      <w:pPr>
        <w:jc w:val="both"/>
        <w:rPr>
          <w:b/>
        </w:rPr>
      </w:pPr>
    </w:p>
    <w:p w14:paraId="61A4647B" w14:textId="77777777" w:rsidR="00AE3FD6" w:rsidRDefault="00AE3FD6" w:rsidP="007169C1">
      <w:pPr>
        <w:jc w:val="both"/>
        <w:rPr>
          <w:b/>
        </w:rPr>
      </w:pPr>
    </w:p>
    <w:p w14:paraId="38F911FF" w14:textId="7D96CC91" w:rsidR="00AE3FD6" w:rsidRDefault="00AE3FD6" w:rsidP="007169C1">
      <w:pPr>
        <w:jc w:val="both"/>
        <w:rPr>
          <w:b/>
        </w:rPr>
      </w:pPr>
    </w:p>
    <w:p w14:paraId="1D32D682" w14:textId="77777777" w:rsidR="00F024F5" w:rsidRDefault="00F024F5" w:rsidP="007169C1">
      <w:pPr>
        <w:jc w:val="both"/>
        <w:rPr>
          <w:b/>
        </w:rPr>
      </w:pPr>
    </w:p>
    <w:p w14:paraId="334A0DB1" w14:textId="02F981E6" w:rsidR="00EC2949" w:rsidRPr="00EA4DFA" w:rsidRDefault="00EC2949" w:rsidP="007169C1">
      <w:pPr>
        <w:jc w:val="both"/>
        <w:rPr>
          <w:b/>
        </w:rPr>
      </w:pPr>
      <w:r w:rsidRPr="00EA4DFA">
        <w:rPr>
          <w:b/>
        </w:rPr>
        <w:t>Week 12, June 15</w:t>
      </w:r>
    </w:p>
    <w:p w14:paraId="36E0939B" w14:textId="2836C371" w:rsidR="00EC2949" w:rsidRPr="00EA4DFA" w:rsidRDefault="00D64A33" w:rsidP="007169C1">
      <w:pPr>
        <w:jc w:val="both"/>
        <w:rPr>
          <w:b/>
        </w:rPr>
      </w:pPr>
      <w:r w:rsidRPr="00EA4DFA">
        <w:rPr>
          <w:b/>
        </w:rPr>
        <w:t xml:space="preserve">Post-Ottoman </w:t>
      </w:r>
      <w:r w:rsidR="00317761">
        <w:rPr>
          <w:b/>
        </w:rPr>
        <w:t xml:space="preserve">Revolutionary </w:t>
      </w:r>
      <w:r w:rsidR="00850AE9" w:rsidRPr="00EA4DFA">
        <w:rPr>
          <w:b/>
        </w:rPr>
        <w:t>Trajectories</w:t>
      </w:r>
    </w:p>
    <w:p w14:paraId="4D3B3972" w14:textId="77777777" w:rsidR="00FB48D4" w:rsidRPr="00EA4DFA" w:rsidRDefault="00FB48D4" w:rsidP="00D64A33">
      <w:pPr>
        <w:jc w:val="both"/>
      </w:pPr>
    </w:p>
    <w:p w14:paraId="3798CAC8" w14:textId="278294F2" w:rsidR="003B2780" w:rsidRPr="00EA4DFA" w:rsidRDefault="00894B19" w:rsidP="00D64A33">
      <w:pPr>
        <w:jc w:val="both"/>
      </w:pPr>
      <w:r w:rsidRPr="00EA4DFA">
        <w:t>John Paul Newman, “The Origins, Attributes, and Legac</w:t>
      </w:r>
      <w:r w:rsidR="00934191" w:rsidRPr="00EA4DFA">
        <w:t>i</w:t>
      </w:r>
      <w:r w:rsidRPr="00EA4DFA">
        <w:t xml:space="preserve">es of Paramilitary Violence in the Balkans,” in </w:t>
      </w:r>
      <w:r w:rsidRPr="00EA4DFA">
        <w:rPr>
          <w:i/>
        </w:rPr>
        <w:t>War in Peace: Paramilitary Violence in Europe after the Great War</w:t>
      </w:r>
      <w:r w:rsidRPr="00EA4DFA">
        <w:t>, eds. Robert Gerwarth and John Horne (</w:t>
      </w:r>
      <w:r w:rsidR="001A00F2" w:rsidRPr="00EA4DFA">
        <w:t>Oxford: Oxford University Press, 2012</w:t>
      </w:r>
      <w:r w:rsidRPr="00EA4DFA">
        <w:t>) pp. 145-62.</w:t>
      </w:r>
    </w:p>
    <w:p w14:paraId="18A5B0C2" w14:textId="77777777" w:rsidR="00894B19" w:rsidRPr="00EA4DFA" w:rsidRDefault="00894B19" w:rsidP="00D64A33">
      <w:pPr>
        <w:jc w:val="both"/>
      </w:pPr>
    </w:p>
    <w:p w14:paraId="48FC6D40" w14:textId="18FAF728" w:rsidR="00D64A33" w:rsidRPr="00EA4DFA" w:rsidRDefault="003B2780" w:rsidP="00D64A33">
      <w:pPr>
        <w:jc w:val="both"/>
      </w:pPr>
      <w:r w:rsidRPr="00EA4DFA">
        <w:t xml:space="preserve">Michael </w:t>
      </w:r>
      <w:r w:rsidR="00D64A33" w:rsidRPr="00EA4DFA">
        <w:t xml:space="preserve">Provence, </w:t>
      </w:r>
      <w:r w:rsidRPr="00EA4DFA">
        <w:t xml:space="preserve">“Ottoman Modernity, Colonialism, and Insurgency in the Interwar Arab East,” in </w:t>
      </w:r>
      <w:r w:rsidRPr="00EA4DFA">
        <w:rPr>
          <w:i/>
        </w:rPr>
        <w:t>IJMES</w:t>
      </w:r>
      <w:r w:rsidRPr="00EA4DFA">
        <w:t>, 43 (2011) pp. 205-25.</w:t>
      </w:r>
    </w:p>
    <w:p w14:paraId="2D9B248B" w14:textId="77777777" w:rsidR="00D64A33" w:rsidRPr="00EA4DFA" w:rsidRDefault="00D64A33" w:rsidP="00D64A33">
      <w:pPr>
        <w:jc w:val="both"/>
      </w:pPr>
    </w:p>
    <w:p w14:paraId="7129CD34" w14:textId="77777777" w:rsidR="00D64A33" w:rsidRPr="00EA4DFA" w:rsidRDefault="00D64A33" w:rsidP="00D64A33">
      <w:pPr>
        <w:jc w:val="both"/>
        <w:rPr>
          <w:u w:val="single"/>
        </w:rPr>
      </w:pPr>
      <w:r w:rsidRPr="00EA4DFA">
        <w:rPr>
          <w:u w:val="single"/>
        </w:rPr>
        <w:t>Optional Readings</w:t>
      </w:r>
    </w:p>
    <w:p w14:paraId="6198B721" w14:textId="4673D156" w:rsidR="00EC2949" w:rsidRPr="00EA4DFA" w:rsidRDefault="00EC2949" w:rsidP="007169C1">
      <w:pPr>
        <w:jc w:val="both"/>
        <w:rPr>
          <w:b/>
        </w:rPr>
      </w:pPr>
    </w:p>
    <w:p w14:paraId="19FFAFE0" w14:textId="371C2A5D" w:rsidR="00894B19" w:rsidRPr="00EA4DFA" w:rsidRDefault="00D850D3" w:rsidP="00894B19">
      <w:pPr>
        <w:jc w:val="both"/>
      </w:pPr>
      <w:r>
        <w:t xml:space="preserve">Alp Yenen, “Internationalism, Diplomacy, and the Revolutionary Origins of the Middle East’s ‘Northern Tier’,” </w:t>
      </w:r>
      <w:r w:rsidR="002F6A28">
        <w:t xml:space="preserve">forthcoming </w:t>
      </w:r>
      <w:r>
        <w:t xml:space="preserve">in </w:t>
      </w:r>
      <w:r w:rsidRPr="002F6A28">
        <w:rPr>
          <w:i/>
        </w:rPr>
        <w:t>Contemporary European History</w:t>
      </w:r>
      <w:r>
        <w:t xml:space="preserve"> (2021).</w:t>
      </w:r>
    </w:p>
    <w:p w14:paraId="6F7D1D7A" w14:textId="12AE2633" w:rsidR="000377AA" w:rsidRPr="00EA4DFA" w:rsidRDefault="000377AA" w:rsidP="00894B19">
      <w:pPr>
        <w:jc w:val="both"/>
      </w:pPr>
    </w:p>
    <w:p w14:paraId="6432A270" w14:textId="4E882E3B" w:rsidR="00D64A33" w:rsidRPr="00EA4DFA" w:rsidRDefault="000377AA" w:rsidP="007169C1">
      <w:pPr>
        <w:jc w:val="both"/>
        <w:rPr>
          <w:noProof/>
        </w:rPr>
      </w:pPr>
      <w:r w:rsidRPr="00EA4DFA">
        <w:t>Jordi Tejel, “The Last Ottoman Rogues: The Kurdish-Armenian Alliance in Syria and the New State System in the Interwar Middle East,” in</w:t>
      </w:r>
      <w:r w:rsidRPr="00EA4DFA">
        <w:rPr>
          <w:i/>
          <w:noProof/>
        </w:rPr>
        <w:t xml:space="preserve"> Age of Rogues: Rebels, Revolutionaries and Racketeers at the Frontiers of Empires</w:t>
      </w:r>
      <w:r w:rsidRPr="00EA4DFA">
        <w:rPr>
          <w:noProof/>
        </w:rPr>
        <w:t>, eds. Ramazan Hakkı Öztan and Alp Yenen (Edinburgh: Edinburgh University Press, 2021) pp. 355-82.</w:t>
      </w:r>
    </w:p>
    <w:p w14:paraId="75893138" w14:textId="35918973" w:rsidR="00EC2949" w:rsidRPr="00EA4DFA" w:rsidRDefault="00EC2949" w:rsidP="007169C1">
      <w:pPr>
        <w:jc w:val="both"/>
      </w:pPr>
    </w:p>
    <w:p w14:paraId="77C8CC23" w14:textId="77777777" w:rsidR="00725C80" w:rsidRDefault="00725C80" w:rsidP="007169C1">
      <w:pPr>
        <w:jc w:val="both"/>
        <w:rPr>
          <w:b/>
        </w:rPr>
      </w:pPr>
    </w:p>
    <w:p w14:paraId="5079FE3B" w14:textId="6B2EA6FB" w:rsidR="00425B7E" w:rsidRPr="00EA4DFA" w:rsidRDefault="00425B7E" w:rsidP="007169C1">
      <w:pPr>
        <w:jc w:val="both"/>
        <w:rPr>
          <w:b/>
        </w:rPr>
      </w:pPr>
      <w:r w:rsidRPr="00EA4DFA">
        <w:rPr>
          <w:b/>
        </w:rPr>
        <w:t xml:space="preserve">Week 13, June </w:t>
      </w:r>
      <w:r w:rsidR="00B44E5F" w:rsidRPr="00EA4DFA">
        <w:rPr>
          <w:b/>
        </w:rPr>
        <w:t>19 – July 3</w:t>
      </w:r>
    </w:p>
    <w:p w14:paraId="54F290D3" w14:textId="66AA1B1A" w:rsidR="00083E72" w:rsidRPr="00EA4DFA" w:rsidRDefault="00083E72" w:rsidP="007169C1">
      <w:pPr>
        <w:jc w:val="both"/>
        <w:rPr>
          <w:b/>
        </w:rPr>
      </w:pPr>
      <w:r w:rsidRPr="00EA4DFA">
        <w:rPr>
          <w:b/>
        </w:rPr>
        <w:t>Finals Week</w:t>
      </w:r>
    </w:p>
    <w:p w14:paraId="07A10B73" w14:textId="77777777" w:rsidR="00425B7E" w:rsidRPr="00EA4DFA" w:rsidRDefault="00425B7E" w:rsidP="007169C1">
      <w:pPr>
        <w:jc w:val="both"/>
      </w:pPr>
    </w:p>
    <w:p w14:paraId="2B52D346" w14:textId="3D8F998B" w:rsidR="00425B7E" w:rsidRPr="00EA4DFA" w:rsidRDefault="00425B7E" w:rsidP="007169C1">
      <w:pPr>
        <w:jc w:val="both"/>
      </w:pPr>
      <w:r w:rsidRPr="00EA4DFA">
        <w:t>Final Papers due July 3</w:t>
      </w:r>
    </w:p>
    <w:sectPr w:rsidR="00425B7E" w:rsidRPr="00EA4DFA" w:rsidSect="00385B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558E1"/>
    <w:multiLevelType w:val="hybridMultilevel"/>
    <w:tmpl w:val="FAC4C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F4"/>
    <w:rsid w:val="00004ADF"/>
    <w:rsid w:val="00011B2E"/>
    <w:rsid w:val="0001223C"/>
    <w:rsid w:val="000144D3"/>
    <w:rsid w:val="000176F0"/>
    <w:rsid w:val="00021096"/>
    <w:rsid w:val="00021953"/>
    <w:rsid w:val="000377AA"/>
    <w:rsid w:val="00040560"/>
    <w:rsid w:val="0004509E"/>
    <w:rsid w:val="0004596B"/>
    <w:rsid w:val="0005164F"/>
    <w:rsid w:val="0005414A"/>
    <w:rsid w:val="000627B1"/>
    <w:rsid w:val="00064994"/>
    <w:rsid w:val="00073D68"/>
    <w:rsid w:val="00083E72"/>
    <w:rsid w:val="00096C16"/>
    <w:rsid w:val="000A0870"/>
    <w:rsid w:val="000A3C25"/>
    <w:rsid w:val="000A604E"/>
    <w:rsid w:val="000A6765"/>
    <w:rsid w:val="000B2A55"/>
    <w:rsid w:val="000B7593"/>
    <w:rsid w:val="000C0B2C"/>
    <w:rsid w:val="000D08A1"/>
    <w:rsid w:val="000D6251"/>
    <w:rsid w:val="000E0469"/>
    <w:rsid w:val="00102615"/>
    <w:rsid w:val="00103086"/>
    <w:rsid w:val="001111E7"/>
    <w:rsid w:val="00115BAB"/>
    <w:rsid w:val="00122415"/>
    <w:rsid w:val="00125843"/>
    <w:rsid w:val="0013710D"/>
    <w:rsid w:val="001378A6"/>
    <w:rsid w:val="001554E3"/>
    <w:rsid w:val="00155544"/>
    <w:rsid w:val="00163B3A"/>
    <w:rsid w:val="00172ADF"/>
    <w:rsid w:val="00191A34"/>
    <w:rsid w:val="001968FE"/>
    <w:rsid w:val="00197FC7"/>
    <w:rsid w:val="001A00F2"/>
    <w:rsid w:val="001A4C6C"/>
    <w:rsid w:val="001A7E50"/>
    <w:rsid w:val="001C0113"/>
    <w:rsid w:val="001D48E2"/>
    <w:rsid w:val="001F7FCD"/>
    <w:rsid w:val="00203812"/>
    <w:rsid w:val="00206118"/>
    <w:rsid w:val="00217A3D"/>
    <w:rsid w:val="00220A8F"/>
    <w:rsid w:val="00225811"/>
    <w:rsid w:val="00233FBF"/>
    <w:rsid w:val="00234481"/>
    <w:rsid w:val="0024145B"/>
    <w:rsid w:val="00243582"/>
    <w:rsid w:val="00244236"/>
    <w:rsid w:val="002501A2"/>
    <w:rsid w:val="002526EE"/>
    <w:rsid w:val="00261EF9"/>
    <w:rsid w:val="00287EAF"/>
    <w:rsid w:val="0029061E"/>
    <w:rsid w:val="00292300"/>
    <w:rsid w:val="00293454"/>
    <w:rsid w:val="00297286"/>
    <w:rsid w:val="002978F4"/>
    <w:rsid w:val="002A3F4E"/>
    <w:rsid w:val="002C6BAF"/>
    <w:rsid w:val="002D3F7F"/>
    <w:rsid w:val="002E0209"/>
    <w:rsid w:val="002E18C2"/>
    <w:rsid w:val="002E2942"/>
    <w:rsid w:val="002E2E00"/>
    <w:rsid w:val="002F0606"/>
    <w:rsid w:val="002F58DA"/>
    <w:rsid w:val="002F6A28"/>
    <w:rsid w:val="0031712A"/>
    <w:rsid w:val="00317761"/>
    <w:rsid w:val="003354F4"/>
    <w:rsid w:val="0034544C"/>
    <w:rsid w:val="003457C0"/>
    <w:rsid w:val="00367BE1"/>
    <w:rsid w:val="00385BFD"/>
    <w:rsid w:val="003A2FE8"/>
    <w:rsid w:val="003A5BB6"/>
    <w:rsid w:val="003B0630"/>
    <w:rsid w:val="003B2780"/>
    <w:rsid w:val="003C065F"/>
    <w:rsid w:val="003E63D0"/>
    <w:rsid w:val="003F0285"/>
    <w:rsid w:val="003F0A93"/>
    <w:rsid w:val="003F56DA"/>
    <w:rsid w:val="00402A04"/>
    <w:rsid w:val="00402A16"/>
    <w:rsid w:val="00403496"/>
    <w:rsid w:val="00407ED8"/>
    <w:rsid w:val="00416488"/>
    <w:rsid w:val="00420227"/>
    <w:rsid w:val="00421EEC"/>
    <w:rsid w:val="00424793"/>
    <w:rsid w:val="004255B9"/>
    <w:rsid w:val="00425B7E"/>
    <w:rsid w:val="00432814"/>
    <w:rsid w:val="00460602"/>
    <w:rsid w:val="0046287B"/>
    <w:rsid w:val="00462B7B"/>
    <w:rsid w:val="004635E8"/>
    <w:rsid w:val="00470F02"/>
    <w:rsid w:val="004871F1"/>
    <w:rsid w:val="004961B8"/>
    <w:rsid w:val="00497A49"/>
    <w:rsid w:val="004B6A74"/>
    <w:rsid w:val="004C306D"/>
    <w:rsid w:val="004D0B3D"/>
    <w:rsid w:val="004D28DD"/>
    <w:rsid w:val="004D4B69"/>
    <w:rsid w:val="004F458D"/>
    <w:rsid w:val="00503CE1"/>
    <w:rsid w:val="005129B9"/>
    <w:rsid w:val="00523E02"/>
    <w:rsid w:val="005268AA"/>
    <w:rsid w:val="00540B8C"/>
    <w:rsid w:val="00543F37"/>
    <w:rsid w:val="005549B5"/>
    <w:rsid w:val="005549DE"/>
    <w:rsid w:val="00570692"/>
    <w:rsid w:val="00586CAA"/>
    <w:rsid w:val="005875C4"/>
    <w:rsid w:val="005976C8"/>
    <w:rsid w:val="005A1E4B"/>
    <w:rsid w:val="005B4A1C"/>
    <w:rsid w:val="005B5975"/>
    <w:rsid w:val="005C3521"/>
    <w:rsid w:val="005D1535"/>
    <w:rsid w:val="005F0FBE"/>
    <w:rsid w:val="005F62B0"/>
    <w:rsid w:val="005F7D57"/>
    <w:rsid w:val="006030EF"/>
    <w:rsid w:val="0060787B"/>
    <w:rsid w:val="00613A28"/>
    <w:rsid w:val="00613F0B"/>
    <w:rsid w:val="00620C7C"/>
    <w:rsid w:val="006256CB"/>
    <w:rsid w:val="006266CC"/>
    <w:rsid w:val="00636404"/>
    <w:rsid w:val="00637351"/>
    <w:rsid w:val="0064415D"/>
    <w:rsid w:val="00654DDA"/>
    <w:rsid w:val="006669AC"/>
    <w:rsid w:val="00671FDE"/>
    <w:rsid w:val="006828D4"/>
    <w:rsid w:val="006834D1"/>
    <w:rsid w:val="00683E34"/>
    <w:rsid w:val="006A0412"/>
    <w:rsid w:val="006A7EC5"/>
    <w:rsid w:val="006B0544"/>
    <w:rsid w:val="006B2B80"/>
    <w:rsid w:val="006C37E7"/>
    <w:rsid w:val="006D115C"/>
    <w:rsid w:val="006D6EEC"/>
    <w:rsid w:val="006F508B"/>
    <w:rsid w:val="006F7BA9"/>
    <w:rsid w:val="007015B9"/>
    <w:rsid w:val="00705A17"/>
    <w:rsid w:val="00711F90"/>
    <w:rsid w:val="007169C1"/>
    <w:rsid w:val="00716EDD"/>
    <w:rsid w:val="00725464"/>
    <w:rsid w:val="00725C80"/>
    <w:rsid w:val="00726BA4"/>
    <w:rsid w:val="00731926"/>
    <w:rsid w:val="00736E68"/>
    <w:rsid w:val="0074233E"/>
    <w:rsid w:val="00753889"/>
    <w:rsid w:val="00762C7E"/>
    <w:rsid w:val="00773F77"/>
    <w:rsid w:val="00780E10"/>
    <w:rsid w:val="007818C8"/>
    <w:rsid w:val="00784D41"/>
    <w:rsid w:val="00787D3F"/>
    <w:rsid w:val="007927DA"/>
    <w:rsid w:val="0079526F"/>
    <w:rsid w:val="007A0B19"/>
    <w:rsid w:val="007A22EE"/>
    <w:rsid w:val="007D0054"/>
    <w:rsid w:val="007D30F8"/>
    <w:rsid w:val="007D77E7"/>
    <w:rsid w:val="007E24B6"/>
    <w:rsid w:val="007F583B"/>
    <w:rsid w:val="008036B5"/>
    <w:rsid w:val="00810720"/>
    <w:rsid w:val="00821F3B"/>
    <w:rsid w:val="00826033"/>
    <w:rsid w:val="00833716"/>
    <w:rsid w:val="00850AE9"/>
    <w:rsid w:val="00857FFD"/>
    <w:rsid w:val="00866889"/>
    <w:rsid w:val="00867EAC"/>
    <w:rsid w:val="008732D5"/>
    <w:rsid w:val="008754D6"/>
    <w:rsid w:val="008756A3"/>
    <w:rsid w:val="00894B19"/>
    <w:rsid w:val="00895F8A"/>
    <w:rsid w:val="008A24A9"/>
    <w:rsid w:val="008A3131"/>
    <w:rsid w:val="008A6B56"/>
    <w:rsid w:val="008B1F78"/>
    <w:rsid w:val="008C1C5F"/>
    <w:rsid w:val="008D604E"/>
    <w:rsid w:val="008D6E23"/>
    <w:rsid w:val="008E2B78"/>
    <w:rsid w:val="008F0490"/>
    <w:rsid w:val="008F073D"/>
    <w:rsid w:val="00900AE0"/>
    <w:rsid w:val="00916E71"/>
    <w:rsid w:val="00925490"/>
    <w:rsid w:val="009262FF"/>
    <w:rsid w:val="00933645"/>
    <w:rsid w:val="00934191"/>
    <w:rsid w:val="0095214E"/>
    <w:rsid w:val="00952C45"/>
    <w:rsid w:val="009577DA"/>
    <w:rsid w:val="00961FCF"/>
    <w:rsid w:val="00964465"/>
    <w:rsid w:val="009669C9"/>
    <w:rsid w:val="00970366"/>
    <w:rsid w:val="00970591"/>
    <w:rsid w:val="00972C2B"/>
    <w:rsid w:val="0097514B"/>
    <w:rsid w:val="00981912"/>
    <w:rsid w:val="0098270F"/>
    <w:rsid w:val="00984E26"/>
    <w:rsid w:val="009942BA"/>
    <w:rsid w:val="00996EC5"/>
    <w:rsid w:val="009A5424"/>
    <w:rsid w:val="009B3352"/>
    <w:rsid w:val="009C24FB"/>
    <w:rsid w:val="009D0077"/>
    <w:rsid w:val="009E1641"/>
    <w:rsid w:val="009F4586"/>
    <w:rsid w:val="00A0762E"/>
    <w:rsid w:val="00A11A33"/>
    <w:rsid w:val="00A152E2"/>
    <w:rsid w:val="00A330E1"/>
    <w:rsid w:val="00A35502"/>
    <w:rsid w:val="00A62F87"/>
    <w:rsid w:val="00A64108"/>
    <w:rsid w:val="00A822EB"/>
    <w:rsid w:val="00A85CA7"/>
    <w:rsid w:val="00A9129B"/>
    <w:rsid w:val="00AA5285"/>
    <w:rsid w:val="00AA5580"/>
    <w:rsid w:val="00AD2774"/>
    <w:rsid w:val="00AE0B7E"/>
    <w:rsid w:val="00AE3FD6"/>
    <w:rsid w:val="00AE4EEA"/>
    <w:rsid w:val="00AF2232"/>
    <w:rsid w:val="00B05BA1"/>
    <w:rsid w:val="00B15B03"/>
    <w:rsid w:val="00B16E6E"/>
    <w:rsid w:val="00B32422"/>
    <w:rsid w:val="00B3649B"/>
    <w:rsid w:val="00B37068"/>
    <w:rsid w:val="00B44E5F"/>
    <w:rsid w:val="00B46A42"/>
    <w:rsid w:val="00B548BB"/>
    <w:rsid w:val="00B57921"/>
    <w:rsid w:val="00B64CD2"/>
    <w:rsid w:val="00B84854"/>
    <w:rsid w:val="00B8721B"/>
    <w:rsid w:val="00BA0A3E"/>
    <w:rsid w:val="00BA1A3D"/>
    <w:rsid w:val="00BB35EB"/>
    <w:rsid w:val="00BB5F03"/>
    <w:rsid w:val="00BC19B2"/>
    <w:rsid w:val="00BC2B63"/>
    <w:rsid w:val="00BC44D4"/>
    <w:rsid w:val="00BC643D"/>
    <w:rsid w:val="00BE627F"/>
    <w:rsid w:val="00BF4CCB"/>
    <w:rsid w:val="00C03545"/>
    <w:rsid w:val="00C036E9"/>
    <w:rsid w:val="00C13BFF"/>
    <w:rsid w:val="00C14B96"/>
    <w:rsid w:val="00C16772"/>
    <w:rsid w:val="00C23A94"/>
    <w:rsid w:val="00C31329"/>
    <w:rsid w:val="00C342BE"/>
    <w:rsid w:val="00C367B1"/>
    <w:rsid w:val="00C37AC1"/>
    <w:rsid w:val="00C4281F"/>
    <w:rsid w:val="00C574D6"/>
    <w:rsid w:val="00C57C7C"/>
    <w:rsid w:val="00C62598"/>
    <w:rsid w:val="00C67331"/>
    <w:rsid w:val="00C7781C"/>
    <w:rsid w:val="00C830AC"/>
    <w:rsid w:val="00C850FD"/>
    <w:rsid w:val="00C92992"/>
    <w:rsid w:val="00C94E04"/>
    <w:rsid w:val="00CB164F"/>
    <w:rsid w:val="00CC4089"/>
    <w:rsid w:val="00CD238E"/>
    <w:rsid w:val="00CD644A"/>
    <w:rsid w:val="00CE157A"/>
    <w:rsid w:val="00CE2984"/>
    <w:rsid w:val="00CF259A"/>
    <w:rsid w:val="00CF2E00"/>
    <w:rsid w:val="00CF6613"/>
    <w:rsid w:val="00D06BF8"/>
    <w:rsid w:val="00D120B6"/>
    <w:rsid w:val="00D166D9"/>
    <w:rsid w:val="00D279B1"/>
    <w:rsid w:val="00D30FC1"/>
    <w:rsid w:val="00D32816"/>
    <w:rsid w:val="00D33AE3"/>
    <w:rsid w:val="00D375AF"/>
    <w:rsid w:val="00D5118E"/>
    <w:rsid w:val="00D53CC5"/>
    <w:rsid w:val="00D64A33"/>
    <w:rsid w:val="00D6759A"/>
    <w:rsid w:val="00D81C12"/>
    <w:rsid w:val="00D838A2"/>
    <w:rsid w:val="00D850D3"/>
    <w:rsid w:val="00D873FF"/>
    <w:rsid w:val="00DA132D"/>
    <w:rsid w:val="00DA14DD"/>
    <w:rsid w:val="00DA1950"/>
    <w:rsid w:val="00DA2466"/>
    <w:rsid w:val="00DA4654"/>
    <w:rsid w:val="00DB3E56"/>
    <w:rsid w:val="00DC49F4"/>
    <w:rsid w:val="00DC6C99"/>
    <w:rsid w:val="00DC7390"/>
    <w:rsid w:val="00DE054A"/>
    <w:rsid w:val="00E04559"/>
    <w:rsid w:val="00E13D6A"/>
    <w:rsid w:val="00E2191C"/>
    <w:rsid w:val="00E321F6"/>
    <w:rsid w:val="00E4789D"/>
    <w:rsid w:val="00E60554"/>
    <w:rsid w:val="00E73555"/>
    <w:rsid w:val="00E7477A"/>
    <w:rsid w:val="00E83929"/>
    <w:rsid w:val="00EA4DFA"/>
    <w:rsid w:val="00EC2949"/>
    <w:rsid w:val="00EC628C"/>
    <w:rsid w:val="00ED160E"/>
    <w:rsid w:val="00ED3F73"/>
    <w:rsid w:val="00EE4302"/>
    <w:rsid w:val="00EE4CB4"/>
    <w:rsid w:val="00EE73F7"/>
    <w:rsid w:val="00F00C1D"/>
    <w:rsid w:val="00F024F5"/>
    <w:rsid w:val="00F07368"/>
    <w:rsid w:val="00F20CD6"/>
    <w:rsid w:val="00F2482D"/>
    <w:rsid w:val="00F25BA8"/>
    <w:rsid w:val="00F27E27"/>
    <w:rsid w:val="00F33CA2"/>
    <w:rsid w:val="00F40CF6"/>
    <w:rsid w:val="00F4575A"/>
    <w:rsid w:val="00F459E1"/>
    <w:rsid w:val="00F61084"/>
    <w:rsid w:val="00F61540"/>
    <w:rsid w:val="00F62FC4"/>
    <w:rsid w:val="00F646E7"/>
    <w:rsid w:val="00F75B4D"/>
    <w:rsid w:val="00F91C5A"/>
    <w:rsid w:val="00F928E2"/>
    <w:rsid w:val="00FA24AB"/>
    <w:rsid w:val="00FB3203"/>
    <w:rsid w:val="00FB416D"/>
    <w:rsid w:val="00FB48D4"/>
    <w:rsid w:val="00FC1457"/>
    <w:rsid w:val="00FC2F5E"/>
    <w:rsid w:val="00FC6A76"/>
    <w:rsid w:val="00FD38DC"/>
    <w:rsid w:val="00FD3CD3"/>
    <w:rsid w:val="00FE1B56"/>
    <w:rsid w:val="00FE2CAF"/>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236A"/>
  <w15:chartTrackingRefBased/>
  <w15:docId w15:val="{57500F8E-493F-E741-B789-3FE4F130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3710D"/>
    <w:rPr>
      <w:rFonts w:eastAsiaTheme="minorHAnsi" w:cstheme="minorBidi"/>
      <w:sz w:val="20"/>
      <w:szCs w:val="20"/>
    </w:rPr>
  </w:style>
  <w:style w:type="character" w:customStyle="1" w:styleId="FootnoteTextChar">
    <w:name w:val="Footnote Text Char"/>
    <w:basedOn w:val="DefaultParagraphFont"/>
    <w:link w:val="FootnoteText"/>
    <w:uiPriority w:val="99"/>
    <w:rsid w:val="0013710D"/>
    <w:rPr>
      <w:rFonts w:ascii="Times New Roman" w:hAnsi="Times New Roman"/>
      <w:sz w:val="20"/>
      <w:szCs w:val="20"/>
    </w:rPr>
  </w:style>
  <w:style w:type="character" w:styleId="CommentReference">
    <w:name w:val="annotation reference"/>
    <w:basedOn w:val="DefaultParagraphFont"/>
    <w:uiPriority w:val="99"/>
    <w:semiHidden/>
    <w:unhideWhenUsed/>
    <w:rsid w:val="00BA1A3D"/>
    <w:rPr>
      <w:sz w:val="16"/>
      <w:szCs w:val="16"/>
    </w:rPr>
  </w:style>
  <w:style w:type="paragraph" w:styleId="CommentText">
    <w:name w:val="annotation text"/>
    <w:basedOn w:val="Normal"/>
    <w:link w:val="CommentTextChar"/>
    <w:uiPriority w:val="99"/>
    <w:semiHidden/>
    <w:unhideWhenUsed/>
    <w:rsid w:val="00BA1A3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A1A3D"/>
    <w:rPr>
      <w:sz w:val="20"/>
      <w:szCs w:val="20"/>
    </w:rPr>
  </w:style>
  <w:style w:type="paragraph" w:styleId="CommentSubject">
    <w:name w:val="annotation subject"/>
    <w:basedOn w:val="CommentText"/>
    <w:next w:val="CommentText"/>
    <w:link w:val="CommentSubjectChar"/>
    <w:uiPriority w:val="99"/>
    <w:semiHidden/>
    <w:unhideWhenUsed/>
    <w:rsid w:val="00BA1A3D"/>
    <w:rPr>
      <w:b/>
      <w:bCs/>
    </w:rPr>
  </w:style>
  <w:style w:type="character" w:customStyle="1" w:styleId="CommentSubjectChar">
    <w:name w:val="Comment Subject Char"/>
    <w:basedOn w:val="CommentTextChar"/>
    <w:link w:val="CommentSubject"/>
    <w:uiPriority w:val="99"/>
    <w:semiHidden/>
    <w:rsid w:val="00BA1A3D"/>
    <w:rPr>
      <w:b/>
      <w:bCs/>
      <w:sz w:val="20"/>
      <w:szCs w:val="20"/>
    </w:rPr>
  </w:style>
  <w:style w:type="paragraph" w:styleId="BalloonText">
    <w:name w:val="Balloon Text"/>
    <w:basedOn w:val="Normal"/>
    <w:link w:val="BalloonTextChar"/>
    <w:uiPriority w:val="99"/>
    <w:semiHidden/>
    <w:unhideWhenUsed/>
    <w:rsid w:val="00BA1A3D"/>
    <w:rPr>
      <w:rFonts w:eastAsiaTheme="minorHAnsi"/>
      <w:sz w:val="18"/>
      <w:szCs w:val="18"/>
    </w:rPr>
  </w:style>
  <w:style w:type="character" w:customStyle="1" w:styleId="BalloonTextChar">
    <w:name w:val="Balloon Text Char"/>
    <w:basedOn w:val="DefaultParagraphFont"/>
    <w:link w:val="BalloonText"/>
    <w:uiPriority w:val="99"/>
    <w:semiHidden/>
    <w:rsid w:val="00BA1A3D"/>
    <w:rPr>
      <w:rFonts w:ascii="Times New Roman" w:hAnsi="Times New Roman" w:cs="Times New Roman"/>
      <w:sz w:val="18"/>
      <w:szCs w:val="18"/>
    </w:rPr>
  </w:style>
  <w:style w:type="paragraph" w:styleId="NormalWeb">
    <w:name w:val="Normal (Web)"/>
    <w:basedOn w:val="Normal"/>
    <w:uiPriority w:val="99"/>
    <w:unhideWhenUsed/>
    <w:rsid w:val="00AF2232"/>
    <w:pPr>
      <w:spacing w:before="100" w:beforeAutospacing="1" w:after="100" w:afterAutospacing="1"/>
    </w:pPr>
  </w:style>
  <w:style w:type="character" w:styleId="Emphasis">
    <w:name w:val="Emphasis"/>
    <w:basedOn w:val="DefaultParagraphFont"/>
    <w:uiPriority w:val="20"/>
    <w:qFormat/>
    <w:rsid w:val="00AF2232"/>
    <w:rPr>
      <w:i/>
      <w:iCs/>
    </w:rPr>
  </w:style>
  <w:style w:type="character" w:styleId="Hyperlink">
    <w:name w:val="Hyperlink"/>
    <w:basedOn w:val="DefaultParagraphFont"/>
    <w:uiPriority w:val="99"/>
    <w:semiHidden/>
    <w:unhideWhenUsed/>
    <w:rsid w:val="00FB3203"/>
    <w:rPr>
      <w:color w:val="0000FF"/>
      <w:u w:val="single"/>
    </w:rPr>
  </w:style>
  <w:style w:type="character" w:customStyle="1" w:styleId="string-name">
    <w:name w:val="string-name"/>
    <w:basedOn w:val="DefaultParagraphFont"/>
    <w:rsid w:val="00C67331"/>
  </w:style>
  <w:style w:type="character" w:customStyle="1" w:styleId="surname">
    <w:name w:val="surname"/>
    <w:basedOn w:val="DefaultParagraphFont"/>
    <w:rsid w:val="00C67331"/>
  </w:style>
  <w:style w:type="character" w:customStyle="1" w:styleId="given-names">
    <w:name w:val="given-names"/>
    <w:basedOn w:val="DefaultParagraphFont"/>
    <w:rsid w:val="00C67331"/>
  </w:style>
  <w:style w:type="character" w:customStyle="1" w:styleId="article-title">
    <w:name w:val="article-title"/>
    <w:basedOn w:val="DefaultParagraphFont"/>
    <w:rsid w:val="00C67331"/>
  </w:style>
  <w:style w:type="character" w:customStyle="1" w:styleId="source">
    <w:name w:val="source"/>
    <w:basedOn w:val="DefaultParagraphFont"/>
    <w:rsid w:val="00C67331"/>
  </w:style>
  <w:style w:type="character" w:customStyle="1" w:styleId="volume">
    <w:name w:val="volume"/>
    <w:basedOn w:val="DefaultParagraphFont"/>
    <w:rsid w:val="00C67331"/>
  </w:style>
  <w:style w:type="character" w:customStyle="1" w:styleId="issue">
    <w:name w:val="issue"/>
    <w:basedOn w:val="DefaultParagraphFont"/>
    <w:rsid w:val="00C67331"/>
  </w:style>
  <w:style w:type="character" w:customStyle="1" w:styleId="year">
    <w:name w:val="year"/>
    <w:basedOn w:val="DefaultParagraphFont"/>
    <w:rsid w:val="00C67331"/>
  </w:style>
  <w:style w:type="character" w:customStyle="1" w:styleId="fpage">
    <w:name w:val="fpage"/>
    <w:basedOn w:val="DefaultParagraphFont"/>
    <w:rsid w:val="00C67331"/>
  </w:style>
  <w:style w:type="character" w:customStyle="1" w:styleId="lpage">
    <w:name w:val="lpage"/>
    <w:basedOn w:val="DefaultParagraphFont"/>
    <w:rsid w:val="00C67331"/>
  </w:style>
  <w:style w:type="paragraph" w:styleId="Revision">
    <w:name w:val="Revision"/>
    <w:hidden/>
    <w:uiPriority w:val="99"/>
    <w:semiHidden/>
    <w:rsid w:val="005129B9"/>
  </w:style>
  <w:style w:type="paragraph" w:styleId="ListParagraph">
    <w:name w:val="List Paragraph"/>
    <w:basedOn w:val="Normal"/>
    <w:uiPriority w:val="34"/>
    <w:qFormat/>
    <w:rsid w:val="007D0054"/>
    <w:pPr>
      <w:ind w:left="720"/>
      <w:contextualSpacing/>
    </w:pPr>
    <w:rPr>
      <w:rFonts w:asciiTheme="minorHAnsi" w:eastAsiaTheme="minorHAnsi" w:hAnsiTheme="minorHAnsi" w:cstheme="minorBidi"/>
    </w:rPr>
  </w:style>
  <w:style w:type="paragraph" w:styleId="NoSpacing">
    <w:name w:val="No Spacing"/>
    <w:uiPriority w:val="1"/>
    <w:qFormat/>
    <w:rsid w:val="0093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026387">
      <w:bodyDiv w:val="1"/>
      <w:marLeft w:val="0"/>
      <w:marRight w:val="0"/>
      <w:marTop w:val="0"/>
      <w:marBottom w:val="0"/>
      <w:divBdr>
        <w:top w:val="none" w:sz="0" w:space="0" w:color="auto"/>
        <w:left w:val="none" w:sz="0" w:space="0" w:color="auto"/>
        <w:bottom w:val="none" w:sz="0" w:space="0" w:color="auto"/>
        <w:right w:val="none" w:sz="0" w:space="0" w:color="auto"/>
      </w:divBdr>
      <w:divsChild>
        <w:div w:id="976297373">
          <w:marLeft w:val="0"/>
          <w:marRight w:val="0"/>
          <w:marTop w:val="0"/>
          <w:marBottom w:val="0"/>
          <w:divBdr>
            <w:top w:val="none" w:sz="0" w:space="0" w:color="auto"/>
            <w:left w:val="none" w:sz="0" w:space="0" w:color="auto"/>
            <w:bottom w:val="none" w:sz="0" w:space="0" w:color="auto"/>
            <w:right w:val="none" w:sz="0" w:space="0" w:color="auto"/>
          </w:divBdr>
        </w:div>
      </w:divsChild>
    </w:div>
    <w:div w:id="1440177295">
      <w:bodyDiv w:val="1"/>
      <w:marLeft w:val="0"/>
      <w:marRight w:val="0"/>
      <w:marTop w:val="0"/>
      <w:marBottom w:val="0"/>
      <w:divBdr>
        <w:top w:val="none" w:sz="0" w:space="0" w:color="auto"/>
        <w:left w:val="none" w:sz="0" w:space="0" w:color="auto"/>
        <w:bottom w:val="none" w:sz="0" w:space="0" w:color="auto"/>
        <w:right w:val="none" w:sz="0" w:space="0" w:color="auto"/>
      </w:divBdr>
      <w:divsChild>
        <w:div w:id="796604482">
          <w:marLeft w:val="0"/>
          <w:marRight w:val="0"/>
          <w:marTop w:val="0"/>
          <w:marBottom w:val="0"/>
          <w:divBdr>
            <w:top w:val="none" w:sz="0" w:space="0" w:color="auto"/>
            <w:left w:val="none" w:sz="0" w:space="0" w:color="auto"/>
            <w:bottom w:val="none" w:sz="0" w:space="0" w:color="auto"/>
            <w:right w:val="none" w:sz="0" w:space="0" w:color="auto"/>
          </w:divBdr>
          <w:divsChild>
            <w:div w:id="17059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88473">
      <w:bodyDiv w:val="1"/>
      <w:marLeft w:val="0"/>
      <w:marRight w:val="0"/>
      <w:marTop w:val="0"/>
      <w:marBottom w:val="0"/>
      <w:divBdr>
        <w:top w:val="none" w:sz="0" w:space="0" w:color="auto"/>
        <w:left w:val="none" w:sz="0" w:space="0" w:color="auto"/>
        <w:bottom w:val="none" w:sz="0" w:space="0" w:color="auto"/>
        <w:right w:val="none" w:sz="0" w:space="0" w:color="auto"/>
      </w:divBdr>
    </w:div>
    <w:div w:id="1761096032">
      <w:bodyDiv w:val="1"/>
      <w:marLeft w:val="0"/>
      <w:marRight w:val="0"/>
      <w:marTop w:val="0"/>
      <w:marBottom w:val="0"/>
      <w:divBdr>
        <w:top w:val="none" w:sz="0" w:space="0" w:color="auto"/>
        <w:left w:val="none" w:sz="0" w:space="0" w:color="auto"/>
        <w:bottom w:val="none" w:sz="0" w:space="0" w:color="auto"/>
        <w:right w:val="none" w:sz="0" w:space="0" w:color="auto"/>
      </w:divBdr>
    </w:div>
    <w:div w:id="1789544628">
      <w:bodyDiv w:val="1"/>
      <w:marLeft w:val="0"/>
      <w:marRight w:val="0"/>
      <w:marTop w:val="0"/>
      <w:marBottom w:val="0"/>
      <w:divBdr>
        <w:top w:val="none" w:sz="0" w:space="0" w:color="auto"/>
        <w:left w:val="none" w:sz="0" w:space="0" w:color="auto"/>
        <w:bottom w:val="none" w:sz="0" w:space="0" w:color="auto"/>
        <w:right w:val="none" w:sz="0" w:space="0" w:color="auto"/>
      </w:divBdr>
    </w:div>
    <w:div w:id="18482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00A6-634E-6C49-9005-8790AE93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can gumus</cp:lastModifiedBy>
  <cp:revision>2</cp:revision>
  <dcterms:created xsi:type="dcterms:W3CDTF">2022-02-17T07:53:00Z</dcterms:created>
  <dcterms:modified xsi:type="dcterms:W3CDTF">2022-02-17T07:53:00Z</dcterms:modified>
</cp:coreProperties>
</file>